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3CF840">
      <w:pPr>
        <w:pStyle w:val="15"/>
        <w:widowControl/>
      </w:pPr>
      <mc:AlternateContent>
        <mc:Choice Requires="wpsCustomData">
          <wpsCustomData:docfieldStart id="0" docfieldname="附件_1" hidden="0" print="1" readonly="0" index="17"/>
        </mc:Choice>
      </mc:AlternateContent>
      <w:r>
        <w:t>附件1</w:t>
      </w:r>
      <mc:AlternateContent>
        <mc:Choice Requires="wpsCustomData">
          <wpsCustomData:docfieldEnd id="0"/>
        </mc:Choice>
      </mc:AlternateContent>
    </w:p>
    <w:p w14:paraId="406A4306">
      <w:pPr>
        <w:pStyle w:val="10"/>
        <w:widowControl/>
      </w:pPr>
      <w:r>
        <w:rPr>
          <w:rFonts w:hint="eastAsia"/>
          <w:lang w:val="en-US" w:eastAsia="zh-CN"/>
        </w:rPr>
        <w:t>嘉鱼县林业局</w:t>
      </w:r>
      <w:r>
        <w:t>“综合查一次”工作计划表</w:t>
      </w:r>
    </w:p>
    <w:p w14:paraId="70C8BDC3">
      <w:pPr>
        <w:pStyle w:val="10"/>
        <w:widowControl/>
      </w:pPr>
    </w:p>
    <w:tbl>
      <w:tblPr>
        <w:tblStyle w:val="13"/>
        <w:tblW w:w="141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1174"/>
        <w:gridCol w:w="1147"/>
        <w:gridCol w:w="1086"/>
        <w:gridCol w:w="973"/>
        <w:gridCol w:w="1524"/>
        <w:gridCol w:w="1679"/>
        <w:gridCol w:w="2127"/>
        <w:gridCol w:w="2624"/>
        <w:gridCol w:w="976"/>
      </w:tblGrid>
      <w:tr w14:paraId="23C25A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825" w:type="dxa"/>
            <w:noWrap w:val="0"/>
            <w:vAlign w:val="center"/>
          </w:tcPr>
          <w:p w14:paraId="047718F2"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编号</w:t>
            </w:r>
          </w:p>
        </w:tc>
        <w:tc>
          <w:tcPr>
            <w:tcW w:w="1174" w:type="dxa"/>
            <w:noWrap w:val="0"/>
            <w:vAlign w:val="center"/>
          </w:tcPr>
          <w:p w14:paraId="3A963409"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事项名称</w:t>
            </w:r>
          </w:p>
        </w:tc>
        <w:tc>
          <w:tcPr>
            <w:tcW w:w="1147" w:type="dxa"/>
            <w:noWrap w:val="0"/>
            <w:vAlign w:val="center"/>
          </w:tcPr>
          <w:p w14:paraId="22F679CB"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检查对象</w:t>
            </w:r>
          </w:p>
        </w:tc>
        <w:tc>
          <w:tcPr>
            <w:tcW w:w="1086" w:type="dxa"/>
            <w:noWrap w:val="0"/>
            <w:vAlign w:val="center"/>
          </w:tcPr>
          <w:p w14:paraId="7E91E75F"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时间安排（天）</w:t>
            </w:r>
          </w:p>
        </w:tc>
        <w:tc>
          <w:tcPr>
            <w:tcW w:w="973" w:type="dxa"/>
            <w:noWrap w:val="0"/>
            <w:vAlign w:val="center"/>
          </w:tcPr>
          <w:p w14:paraId="190A777E"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检查对象数量</w:t>
            </w:r>
          </w:p>
        </w:tc>
        <w:tc>
          <w:tcPr>
            <w:tcW w:w="1524" w:type="dxa"/>
            <w:noWrap w:val="0"/>
            <w:vAlign w:val="center"/>
          </w:tcPr>
          <w:p w14:paraId="39DE8A04"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检查对象产生方式</w:t>
            </w:r>
          </w:p>
        </w:tc>
        <w:tc>
          <w:tcPr>
            <w:tcW w:w="1679" w:type="dxa"/>
            <w:noWrap w:val="0"/>
            <w:vAlign w:val="center"/>
          </w:tcPr>
          <w:p w14:paraId="073AFA19"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检查方式</w:t>
            </w:r>
          </w:p>
        </w:tc>
        <w:tc>
          <w:tcPr>
            <w:tcW w:w="2127" w:type="dxa"/>
            <w:noWrap w:val="0"/>
            <w:vAlign w:val="center"/>
          </w:tcPr>
          <w:p w14:paraId="69EB26F0"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发起部门</w:t>
            </w:r>
          </w:p>
        </w:tc>
        <w:tc>
          <w:tcPr>
            <w:tcW w:w="2624" w:type="dxa"/>
            <w:noWrap w:val="0"/>
            <w:vAlign w:val="center"/>
          </w:tcPr>
          <w:p w14:paraId="3FBD18AA"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联合检查部门</w:t>
            </w:r>
          </w:p>
        </w:tc>
        <w:tc>
          <w:tcPr>
            <w:tcW w:w="976" w:type="dxa"/>
            <w:noWrap w:val="0"/>
            <w:vAlign w:val="center"/>
          </w:tcPr>
          <w:p w14:paraId="4167F7CC"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6432B3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8" w:hRule="atLeast"/>
          <w:jc w:val="center"/>
        </w:trPr>
        <w:tc>
          <w:tcPr>
            <w:tcW w:w="825" w:type="dxa"/>
            <w:vMerge w:val="restart"/>
            <w:noWrap w:val="0"/>
            <w:vAlign w:val="center"/>
          </w:tcPr>
          <w:p w14:paraId="00022844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174" w:type="dxa"/>
            <w:vMerge w:val="restart"/>
            <w:noWrap w:val="0"/>
            <w:vAlign w:val="center"/>
          </w:tcPr>
          <w:p w14:paraId="6B832E0F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对野生动物及其产品经营、利用的检查</w:t>
            </w:r>
          </w:p>
        </w:tc>
        <w:tc>
          <w:tcPr>
            <w:tcW w:w="1147" w:type="dxa"/>
            <w:vMerge w:val="restart"/>
            <w:noWrap w:val="0"/>
            <w:vAlign w:val="center"/>
          </w:tcPr>
          <w:p w14:paraId="7D2D53CA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农贸市场、酒店</w:t>
            </w:r>
          </w:p>
        </w:tc>
        <w:tc>
          <w:tcPr>
            <w:tcW w:w="1086" w:type="dxa"/>
            <w:noWrap w:val="0"/>
            <w:vAlign w:val="center"/>
          </w:tcPr>
          <w:p w14:paraId="0EA6BA60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1月（2天）</w:t>
            </w:r>
          </w:p>
        </w:tc>
        <w:tc>
          <w:tcPr>
            <w:tcW w:w="973" w:type="dxa"/>
            <w:noWrap w:val="0"/>
            <w:vAlign w:val="center"/>
          </w:tcPr>
          <w:p w14:paraId="79AB054E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5-8家</w:t>
            </w:r>
          </w:p>
        </w:tc>
        <w:tc>
          <w:tcPr>
            <w:tcW w:w="1524" w:type="dxa"/>
            <w:noWrap w:val="0"/>
            <w:vAlign w:val="center"/>
          </w:tcPr>
          <w:p w14:paraId="443BCCAE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双随机、重点督查对象</w:t>
            </w:r>
          </w:p>
        </w:tc>
        <w:tc>
          <w:tcPr>
            <w:tcW w:w="1679" w:type="dxa"/>
            <w:noWrap w:val="0"/>
            <w:vAlign w:val="center"/>
          </w:tcPr>
          <w:p w14:paraId="2643FE97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现场检查、书面检查等</w:t>
            </w:r>
          </w:p>
        </w:tc>
        <w:tc>
          <w:tcPr>
            <w:tcW w:w="2127" w:type="dxa"/>
            <w:noWrap w:val="0"/>
            <w:vAlign w:val="center"/>
          </w:tcPr>
          <w:p w14:paraId="79D649A9">
            <w:pPr>
              <w:jc w:val="center"/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嘉鱼县野生动物和森林植物保护站</w:t>
            </w:r>
          </w:p>
        </w:tc>
        <w:tc>
          <w:tcPr>
            <w:tcW w:w="2624" w:type="dxa"/>
            <w:noWrap w:val="0"/>
            <w:vAlign w:val="center"/>
          </w:tcPr>
          <w:p w14:paraId="7EBA223E">
            <w:pPr>
              <w:jc w:val="center"/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农业综合执法大队、环境资源和食品药品犯罪侦查大队、市场监督管理局</w:t>
            </w:r>
          </w:p>
        </w:tc>
        <w:tc>
          <w:tcPr>
            <w:tcW w:w="976" w:type="dxa"/>
            <w:noWrap w:val="0"/>
            <w:vAlign w:val="center"/>
          </w:tcPr>
          <w:p w14:paraId="0693DC46">
            <w:pPr>
              <w:jc w:val="center"/>
              <w:rPr>
                <w:rFonts w:hint="eastAsia" w:ascii="仿宋_GB2312" w:hAnsi="仿宋_GB2312" w:eastAsia="仿宋_GB2312" w:cs="仿宋_GB2312"/>
                <w:color w:val="BFBFBF" w:themeColor="background1" w:themeShade="BF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9309D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2" w:hRule="atLeast"/>
          <w:jc w:val="center"/>
        </w:trPr>
        <w:tc>
          <w:tcPr>
            <w:tcW w:w="825" w:type="dxa"/>
            <w:vMerge w:val="continue"/>
            <w:noWrap w:val="0"/>
            <w:vAlign w:val="center"/>
          </w:tcPr>
          <w:p w14:paraId="43292261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4" w:type="dxa"/>
            <w:vMerge w:val="continue"/>
            <w:noWrap w:val="0"/>
            <w:vAlign w:val="center"/>
          </w:tcPr>
          <w:p w14:paraId="130B504C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7" w:type="dxa"/>
            <w:vMerge w:val="continue"/>
            <w:noWrap w:val="0"/>
            <w:vAlign w:val="center"/>
          </w:tcPr>
          <w:p w14:paraId="7EF91C0F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6" w:type="dxa"/>
            <w:noWrap w:val="0"/>
            <w:vAlign w:val="center"/>
          </w:tcPr>
          <w:p w14:paraId="26512783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4月（2天）</w:t>
            </w:r>
          </w:p>
        </w:tc>
        <w:tc>
          <w:tcPr>
            <w:tcW w:w="973" w:type="dxa"/>
            <w:noWrap w:val="0"/>
            <w:vAlign w:val="center"/>
          </w:tcPr>
          <w:p w14:paraId="0BE2BC61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5-8家</w:t>
            </w:r>
          </w:p>
        </w:tc>
        <w:tc>
          <w:tcPr>
            <w:tcW w:w="1524" w:type="dxa"/>
            <w:noWrap w:val="0"/>
            <w:vAlign w:val="center"/>
          </w:tcPr>
          <w:p w14:paraId="157A49D7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双随机、投诉举报对象</w:t>
            </w:r>
          </w:p>
        </w:tc>
        <w:tc>
          <w:tcPr>
            <w:tcW w:w="1679" w:type="dxa"/>
            <w:noWrap w:val="0"/>
            <w:vAlign w:val="center"/>
          </w:tcPr>
          <w:p w14:paraId="2FCF6658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现场检查、书面检查等</w:t>
            </w:r>
          </w:p>
        </w:tc>
        <w:tc>
          <w:tcPr>
            <w:tcW w:w="2127" w:type="dxa"/>
            <w:noWrap w:val="0"/>
            <w:vAlign w:val="center"/>
          </w:tcPr>
          <w:p w14:paraId="4C1F963E">
            <w:pPr>
              <w:jc w:val="center"/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嘉鱼县野生动物和森林植物保护站</w:t>
            </w:r>
          </w:p>
        </w:tc>
        <w:tc>
          <w:tcPr>
            <w:tcW w:w="2624" w:type="dxa"/>
            <w:noWrap w:val="0"/>
            <w:vAlign w:val="center"/>
          </w:tcPr>
          <w:p w14:paraId="691066E8">
            <w:pPr>
              <w:jc w:val="center"/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农业综合执法大队、环境资源和食品药品犯罪侦查大队、市场监督管理局</w:t>
            </w:r>
          </w:p>
        </w:tc>
        <w:tc>
          <w:tcPr>
            <w:tcW w:w="976" w:type="dxa"/>
            <w:noWrap w:val="0"/>
            <w:vAlign w:val="center"/>
          </w:tcPr>
          <w:p w14:paraId="74AD50EF">
            <w:pPr>
              <w:jc w:val="center"/>
              <w:rPr>
                <w:rFonts w:hint="eastAsia" w:ascii="仿宋_GB2312" w:hAnsi="仿宋_GB2312" w:eastAsia="仿宋_GB2312" w:cs="仿宋_GB2312"/>
                <w:color w:val="BFBFBF" w:themeColor="background1" w:themeShade="BF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02E95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6" w:hRule="atLeast"/>
          <w:jc w:val="center"/>
        </w:trPr>
        <w:tc>
          <w:tcPr>
            <w:tcW w:w="825" w:type="dxa"/>
            <w:vMerge w:val="continue"/>
            <w:noWrap w:val="0"/>
            <w:vAlign w:val="center"/>
          </w:tcPr>
          <w:p w14:paraId="296BF3AA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4" w:type="dxa"/>
            <w:vMerge w:val="continue"/>
            <w:noWrap w:val="0"/>
            <w:vAlign w:val="center"/>
          </w:tcPr>
          <w:p w14:paraId="02EA642C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7" w:type="dxa"/>
            <w:vMerge w:val="continue"/>
            <w:noWrap w:val="0"/>
            <w:vAlign w:val="center"/>
          </w:tcPr>
          <w:p w14:paraId="02DAFAF2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6" w:type="dxa"/>
            <w:noWrap w:val="0"/>
            <w:vAlign w:val="center"/>
          </w:tcPr>
          <w:p w14:paraId="59671D78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8月（2天）</w:t>
            </w:r>
          </w:p>
        </w:tc>
        <w:tc>
          <w:tcPr>
            <w:tcW w:w="973" w:type="dxa"/>
            <w:noWrap w:val="0"/>
            <w:vAlign w:val="center"/>
          </w:tcPr>
          <w:p w14:paraId="388E0A13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5-8家</w:t>
            </w:r>
          </w:p>
        </w:tc>
        <w:tc>
          <w:tcPr>
            <w:tcW w:w="1524" w:type="dxa"/>
            <w:noWrap w:val="0"/>
            <w:vAlign w:val="center"/>
          </w:tcPr>
          <w:p w14:paraId="1B38B22B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双随机</w:t>
            </w:r>
          </w:p>
        </w:tc>
        <w:tc>
          <w:tcPr>
            <w:tcW w:w="1679" w:type="dxa"/>
            <w:noWrap w:val="0"/>
            <w:vAlign w:val="center"/>
          </w:tcPr>
          <w:p w14:paraId="77B0CBB7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现场检查、书面检查等</w:t>
            </w:r>
          </w:p>
        </w:tc>
        <w:tc>
          <w:tcPr>
            <w:tcW w:w="2127" w:type="dxa"/>
            <w:noWrap w:val="0"/>
            <w:vAlign w:val="center"/>
          </w:tcPr>
          <w:p w14:paraId="76E3B5A5">
            <w:pPr>
              <w:jc w:val="center"/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嘉鱼县野生动物和森林植物保护站</w:t>
            </w:r>
          </w:p>
        </w:tc>
        <w:tc>
          <w:tcPr>
            <w:tcW w:w="2624" w:type="dxa"/>
            <w:noWrap w:val="0"/>
            <w:vAlign w:val="center"/>
          </w:tcPr>
          <w:p w14:paraId="2CB098C6">
            <w:pPr>
              <w:jc w:val="center"/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农业综合执法大队、环境资源和食品药品犯罪侦查大队、市场监督管理局</w:t>
            </w:r>
          </w:p>
        </w:tc>
        <w:tc>
          <w:tcPr>
            <w:tcW w:w="976" w:type="dxa"/>
            <w:noWrap w:val="0"/>
            <w:vAlign w:val="center"/>
          </w:tcPr>
          <w:p w14:paraId="60B9A71E">
            <w:pPr>
              <w:jc w:val="center"/>
              <w:rPr>
                <w:rFonts w:hint="eastAsia" w:ascii="仿宋_GB2312" w:hAnsi="仿宋_GB2312" w:eastAsia="仿宋_GB2312" w:cs="仿宋_GB2312"/>
                <w:color w:val="BFBFBF" w:themeColor="background1" w:themeShade="BF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7786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6" w:hRule="atLeast"/>
          <w:jc w:val="center"/>
        </w:trPr>
        <w:tc>
          <w:tcPr>
            <w:tcW w:w="825" w:type="dxa"/>
            <w:vMerge w:val="continue"/>
            <w:noWrap w:val="0"/>
            <w:vAlign w:val="center"/>
          </w:tcPr>
          <w:p w14:paraId="25681255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4" w:type="dxa"/>
            <w:vMerge w:val="continue"/>
            <w:noWrap w:val="0"/>
            <w:vAlign w:val="center"/>
          </w:tcPr>
          <w:p w14:paraId="7986FF61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7" w:type="dxa"/>
            <w:vMerge w:val="continue"/>
            <w:noWrap w:val="0"/>
            <w:vAlign w:val="center"/>
          </w:tcPr>
          <w:p w14:paraId="429030AE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6" w:type="dxa"/>
            <w:noWrap w:val="0"/>
            <w:vAlign w:val="center"/>
          </w:tcPr>
          <w:p w14:paraId="45C7317E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11月（2天）</w:t>
            </w:r>
          </w:p>
        </w:tc>
        <w:tc>
          <w:tcPr>
            <w:tcW w:w="973" w:type="dxa"/>
            <w:noWrap w:val="0"/>
            <w:vAlign w:val="center"/>
          </w:tcPr>
          <w:p w14:paraId="419658B8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5-8家</w:t>
            </w:r>
          </w:p>
        </w:tc>
        <w:tc>
          <w:tcPr>
            <w:tcW w:w="1524" w:type="dxa"/>
            <w:noWrap w:val="0"/>
            <w:vAlign w:val="center"/>
          </w:tcPr>
          <w:p w14:paraId="527F5885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双随机</w:t>
            </w:r>
          </w:p>
        </w:tc>
        <w:tc>
          <w:tcPr>
            <w:tcW w:w="1679" w:type="dxa"/>
            <w:noWrap w:val="0"/>
            <w:vAlign w:val="center"/>
          </w:tcPr>
          <w:p w14:paraId="336357CF"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现场检查、书面检查等</w:t>
            </w:r>
          </w:p>
        </w:tc>
        <w:tc>
          <w:tcPr>
            <w:tcW w:w="2127" w:type="dxa"/>
            <w:noWrap w:val="0"/>
            <w:vAlign w:val="center"/>
          </w:tcPr>
          <w:p w14:paraId="77F07F69">
            <w:pPr>
              <w:jc w:val="center"/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嘉鱼县野生动物和森林植物保护站</w:t>
            </w:r>
          </w:p>
        </w:tc>
        <w:tc>
          <w:tcPr>
            <w:tcW w:w="2624" w:type="dxa"/>
            <w:noWrap w:val="0"/>
            <w:vAlign w:val="center"/>
          </w:tcPr>
          <w:p w14:paraId="33261197">
            <w:pPr>
              <w:jc w:val="center"/>
              <w:rPr>
                <w:rFonts w:hint="eastAsia" w:ascii="仿宋_GB2312" w:hAnsi="仿宋_GB2312" w:eastAsia="仿宋_GB2312" w:cs="仿宋_GB2312"/>
                <w:color w:val="808080" w:themeColor="background1" w:themeShade="8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农业综合执法大队、环境资源和食品药品犯罪侦查大队、市场监督管理局</w:t>
            </w:r>
          </w:p>
        </w:tc>
        <w:tc>
          <w:tcPr>
            <w:tcW w:w="976" w:type="dxa"/>
            <w:noWrap w:val="0"/>
            <w:vAlign w:val="center"/>
          </w:tcPr>
          <w:p w14:paraId="6BC44D19">
            <w:pPr>
              <w:jc w:val="center"/>
              <w:rPr>
                <w:rFonts w:hint="eastAsia" w:ascii="仿宋_GB2312" w:hAnsi="仿宋_GB2312" w:eastAsia="仿宋_GB2312" w:cs="仿宋_GB2312"/>
                <w:color w:val="BFBFBF" w:themeColor="background1" w:themeShade="BF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433710F1">
      <w:pPr>
        <w:pStyle w:val="11"/>
        <w:sectPr>
          <w:headerReference r:id="rId3" w:type="default"/>
          <w:footerReference r:id="rId4" w:type="default"/>
          <w:pgSz w:w="17110" w:h="12190" w:orient="landscape"/>
          <w:pgMar w:top="1405" w:right="1454" w:bottom="1625" w:left="1067" w:header="0" w:footer="759" w:gutter="0"/>
          <w:pgNumType w:fmt="decimal"/>
          <w:cols w:space="720" w:num="1"/>
        </w:sectPr>
      </w:pPr>
    </w:p>
    <w:p w14:paraId="6A8F07C0">
      <w:pPr>
        <w:pStyle w:val="15"/>
        <w:widowControl/>
      </w:pPr>
      <mc:AlternateContent>
        <mc:Choice Requires="wpsCustomData">
          <wpsCustomData:docfieldStart id="1" docfieldname="附件_2" hidden="0" print="1" readonly="0" index="18"/>
        </mc:Choice>
      </mc:AlternateContent>
      <w:r>
        <w:t>附件2</w:t>
      </w:r>
      <mc:AlternateContent>
        <mc:Choice Requires="wpsCustomData">
          <wpsCustomData:docfieldEnd id="1"/>
        </mc:Choice>
      </mc:AlternateContent>
    </w:p>
    <w:p w14:paraId="37ADB4BE">
      <w:pPr>
        <w:rPr>
          <w:rFonts w:ascii="宋体" w:hAnsi="宋体" w:eastAsia="宋体" w:cs="宋体"/>
          <w:b/>
          <w:bCs/>
          <w:spacing w:val="3"/>
          <w:sz w:val="45"/>
          <w:szCs w:val="45"/>
        </w:rPr>
      </w:pPr>
    </w:p>
    <w:p w14:paraId="1A00C8DE">
      <w:pPr>
        <w:rPr>
          <w:rFonts w:hint="eastAsia" w:ascii="宋体" w:hAnsi="宋体" w:eastAsia="宋体" w:cs="宋体"/>
          <w:b/>
          <w:bCs/>
          <w:spacing w:val="3"/>
          <w:sz w:val="45"/>
          <w:szCs w:val="45"/>
          <w:lang w:eastAsia="zh-CN"/>
        </w:rPr>
      </w:pPr>
      <w:bookmarkStart w:id="0" w:name="_GoBack"/>
      <w:bookmarkEnd w:id="0"/>
      <w:r>
        <w:rPr>
          <w:rFonts w:ascii="宋体" w:hAnsi="宋体" w:eastAsia="宋体" w:cs="宋体"/>
          <w:b/>
          <w:bCs/>
          <w:spacing w:val="3"/>
          <w:sz w:val="45"/>
          <w:szCs w:val="45"/>
        </w:rPr>
        <w:t>咸宁市“综合查一次”</w:t>
      </w:r>
      <w:r>
        <w:rPr>
          <w:rFonts w:hint="eastAsia" w:ascii="宋体" w:hAnsi="宋体" w:eastAsia="宋体" w:cs="宋体"/>
          <w:b/>
          <w:bCs/>
          <w:spacing w:val="3"/>
          <w:sz w:val="45"/>
          <w:szCs w:val="45"/>
          <w:lang w:eastAsia="zh-CN"/>
        </w:rPr>
        <w:t>联合检查合规标准</w:t>
      </w:r>
    </w:p>
    <w:p w14:paraId="069FB8A9">
      <w:pPr>
        <w:rPr>
          <w:rFonts w:hint="eastAsia" w:ascii="宋体" w:hAnsi="宋体" w:eastAsia="宋体" w:cs="宋体"/>
          <w:b/>
          <w:bCs/>
          <w:spacing w:val="3"/>
          <w:sz w:val="45"/>
          <w:szCs w:val="45"/>
          <w:lang w:eastAsia="zh-CN"/>
        </w:rPr>
      </w:pPr>
    </w:p>
    <w:p w14:paraId="266C8FE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highlight w:val="none"/>
          <w:lang w:val="en-US" w:eastAsia="zh-CN"/>
        </w:rPr>
        <w:t>野生动植物保护监督检查</w:t>
      </w:r>
    </w:p>
    <w:p w14:paraId="19ACBE9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highlight w:val="none"/>
          <w:lang w:val="en-US" w:eastAsia="zh-CN"/>
        </w:rPr>
        <w:t>农贸市场、水产商行、餐厅农家乐等场所应当遵守《中华人民共和国野生动物保护法》《中华人民共和国陆生野生动物保护实施条例》《关于全面禁止非法野生动物交易、革除滥食野生动物陋习、切实保障人民群众生命健康安全的决定》《咸宁市人民政府关于禁止猎捕陆生野生动物的通告》等法律法规，规范经营行为。</w:t>
      </w:r>
    </w:p>
    <w:p w14:paraId="31AFB8C3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highlight w:val="none"/>
          <w:lang w:val="en-US" w:eastAsia="zh-CN"/>
        </w:rPr>
        <w:t>主体资格合规</w:t>
      </w:r>
    </w:p>
    <w:p w14:paraId="21C0C2C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highlight w:val="none"/>
          <w:lang w:val="en-US" w:eastAsia="zh-CN"/>
        </w:rPr>
        <w:t>1.农贸市场、水产商行、餐厅农家乐等场所主体资格以行业主管部门相关规定为准。</w:t>
      </w:r>
    </w:p>
    <w:p w14:paraId="2977A256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highlight w:val="none"/>
          <w:lang w:val="en-US" w:eastAsia="zh-CN"/>
        </w:rPr>
        <w:t>经营行为合规</w:t>
      </w:r>
    </w:p>
    <w:p w14:paraId="5FF499A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highlight w:val="none"/>
          <w:lang w:val="en-US" w:eastAsia="zh-CN"/>
        </w:rPr>
        <w:t xml:space="preserve">    1.禁止出售、购买、利用国家重点保护野生动物，有重要生态、科学、社会价值的陆生野生动物，省级重点保护陆生野生动物和其他陆生野生动物及其制品。</w:t>
      </w:r>
    </w:p>
    <w:p w14:paraId="2DF4C60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highlight w:val="none"/>
          <w:lang w:val="en-US" w:eastAsia="zh-CN"/>
        </w:rPr>
        <w:t>2.禁止食用国家重点保护野生动物，有重要生态、科学、社会价值的陆生野生动物，省级重点保护陆生野生动物和其他陆生野生动物及其制品。</w:t>
      </w:r>
    </w:p>
    <w:p w14:paraId="45CF20A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</w:pPr>
      <w:r>
        <w:rPr>
          <w:rFonts w:hint="eastAsia" w:ascii="仿宋_GB2312" w:hAnsi="仿宋_GB2312" w:eastAsia="仿宋_GB2312" w:cs="仿宋_GB2312"/>
          <w:snapToGrid/>
          <w:kern w:val="2"/>
          <w:sz w:val="32"/>
          <w:szCs w:val="32"/>
          <w:highlight w:val="none"/>
          <w:lang w:val="en-US" w:eastAsia="zh-CN"/>
        </w:rPr>
        <w:t>3.农贸市场、水产商行、餐厅农家乐等场所招牌、菜单、广告等不得出现野生动物及其制品相关文字。</w:t>
      </w:r>
    </w:p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211361">
    <w:pPr>
      <w:spacing w:line="177" w:lineRule="auto"/>
      <w:ind w:left="454"/>
      <w:rPr>
        <w:rFonts w:ascii="宋体" w:hAnsi="宋体" w:eastAsia="宋体" w:cs="宋体"/>
        <w:sz w:val="31"/>
        <w:szCs w:val="31"/>
      </w:rPr>
    </w:pPr>
    <w:r>
      <w:rPr>
        <w:sz w:val="31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857DEEE">
                          <w:pPr>
                            <w:pStyle w:val="7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7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857DEEE">
                    <w:pPr>
                      <w:pStyle w:val="7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7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  <w:r>
      <w:rPr>
        <w:sz w:val="3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36D46AD">
                          <w:pPr>
                            <w:rPr>
                              <w:rFonts w:hint="eastAsia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4aj184AgAAb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XhqPXz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36D46AD">
                    <w:pPr>
                      <w:rPr>
                        <w:rFonts w:hint="eastAsia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EF8DBA">
    <w:pPr>
      <w:spacing w:line="177" w:lineRule="auto"/>
      <w:ind w:left="454"/>
      <w:rPr>
        <w:rFonts w:ascii="宋体" w:hAnsi="宋体" w:eastAsia="宋体" w:cs="宋体"/>
        <w:sz w:val="31"/>
        <w:szCs w:val="31"/>
      </w:rPr>
    </w:pPr>
    <w:r>
      <w:rPr>
        <w:sz w:val="31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22544CE">
                          <w:pPr>
                            <w:pStyle w:val="7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9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2336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G+QoMkBAACZAwAADgAAAGRycy9lMm9Eb2MueG1srVPNjtMwEL4j8Q6W&#10;79TZroS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NieMWB37++eP868/593dy&#10;neXpA9SYdR8wLw3v/IBLM/sBnZn1oKLNX+RDMI7ini7iyiERkR+tlqtVhSGBsfmC+OzheYiQ3ktv&#10;STYaGnF6RVR+/AhpTJ1TcjXn77QxZYLG/eNAzOxhufexx2ylYTdMhHa+PSGfHgffUId7Ton54FDX&#10;vCOzEWdjNxuHEPW+K0uU60G4PSRsovSWK4ywU2GcWGE3bVdeicf3kvXwR23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Eb5Cg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22544CE">
                    <w:pPr>
                      <w:pStyle w:val="7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9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  <w:r>
      <w:rPr>
        <w:sz w:val="31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81700E6">
                          <w:pPr>
                            <w:rPr>
                              <w:rFonts w:hint="eastAsia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mMenDD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81700E6">
                    <w:pPr>
                      <w:rPr>
                        <w:rFonts w:hint="eastAsia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A58507">
    <w:pPr>
      <w:pStyle w:val="8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7E4C8E">
    <w:pPr>
      <w:pStyle w:val="8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D267FB5"/>
    <w:multiLevelType w:val="singleLevel"/>
    <w:tmpl w:val="9D267FB5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68C511DF"/>
    <w:multiLevelType w:val="singleLevel"/>
    <w:tmpl w:val="68C511DF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2D3662"/>
    <w:rsid w:val="32FA0F1B"/>
    <w:rsid w:val="38155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3">
    <w:name w:val="heading 2"/>
    <w:next w:val="1"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</w:rPr>
  </w:style>
  <w:style w:type="character" w:default="1" w:styleId="14">
    <w:name w:val="Default Paragraph Font"/>
    <w:semiHidden/>
    <w:uiPriority w:val="0"/>
  </w:style>
  <w:style w:type="table" w:default="1" w:styleId="1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widowControl w:val="0"/>
      <w:ind w:firstLine="420" w:firstLineChars="200"/>
      <w:jc w:val="both"/>
    </w:pPr>
    <w:rPr>
      <w:rFonts w:ascii="Calibri" w:hAnsi="Calibri" w:eastAsia="仿宋" w:cs="Times New Roman"/>
      <w:kern w:val="2"/>
      <w:sz w:val="32"/>
    </w:rPr>
  </w:style>
  <w:style w:type="paragraph" w:styleId="5">
    <w:name w:val="Body Text"/>
    <w:qFormat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6">
    <w:name w:val="Body Text Indent"/>
    <w:basedOn w:val="1"/>
    <w:next w:val="4"/>
    <w:qFormat/>
    <w:uiPriority w:val="0"/>
    <w:pPr>
      <w:widowControl w:val="0"/>
      <w:spacing w:after="120"/>
      <w:ind w:left="420" w:leftChars="200"/>
      <w:jc w:val="both"/>
    </w:pPr>
    <w:rPr>
      <w:rFonts w:ascii="Calibri" w:hAnsi="Calibri" w:cs="Times New Roman"/>
      <w:kern w:val="2"/>
      <w:sz w:val="21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Subtitle"/>
    <w:qFormat/>
    <w:uiPriority w:val="0"/>
    <w:pPr>
      <w:spacing w:beforeLines="0" w:beforeAutospacing="0" w:afterLines="0" w:afterAutospacing="0" w:line="720" w:lineRule="exact"/>
      <w:jc w:val="center"/>
      <w:outlineLvl w:val="9"/>
    </w:pPr>
    <w:rPr>
      <w:rFonts w:ascii="Times New Roman" w:hAnsi="Times New Roman" w:eastAsia="仿宋_GB2312" w:cs="仿宋_GB2312"/>
      <w:kern w:val="28"/>
      <w:sz w:val="32"/>
      <w:szCs w:val="32"/>
    </w:rPr>
  </w:style>
  <w:style w:type="paragraph" w:styleId="10">
    <w:name w:val="Title"/>
    <w:qFormat/>
    <w:uiPriority w:val="0"/>
    <w:pPr>
      <w:spacing w:line="720" w:lineRule="exact"/>
      <w:jc w:val="center"/>
      <w:outlineLvl w:val="9"/>
    </w:pPr>
    <w:rPr>
      <w:rFonts w:ascii="仿宋_GB2312" w:hAnsi="仿宋_GB2312" w:eastAsia="仿宋_GB2312" w:cs="仿宋_GB2312"/>
      <w:sz w:val="44"/>
      <w:szCs w:val="44"/>
    </w:rPr>
  </w:style>
  <w:style w:type="paragraph" w:styleId="11">
    <w:name w:val="Body Text First Indent 2"/>
    <w:basedOn w:val="6"/>
    <w:next w:val="1"/>
    <w:qFormat/>
    <w:uiPriority w:val="0"/>
    <w:pPr>
      <w:ind w:firstLine="420" w:firstLineChars="200"/>
    </w:p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5">
    <w:name w:val="附录标题"/>
    <w:next w:val="1"/>
    <w:qFormat/>
    <w:uiPriority w:val="0"/>
    <w:pPr>
      <w:overflowPunct w:val="0"/>
      <w:topLinePunct/>
      <w:spacing w:line="560" w:lineRule="exact"/>
      <w:jc w:val="left"/>
      <w:outlineLvl w:val="0"/>
    </w:pPr>
    <w:rPr>
      <w:rFonts w:ascii="黑体" w:hAnsi="黑体" w:eastAsia="黑体" w:cs="黑体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1803</Words>
  <Characters>1841</Characters>
  <Lines>0</Lines>
  <Paragraphs>0</Paragraphs>
  <TotalTime>0</TotalTime>
  <ScaleCrop>false</ScaleCrop>
  <LinksUpToDate>false</LinksUpToDate>
  <CharactersWithSpaces>1863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2026-01-06T01:38:00Z</dcterms:created>
  <dc:creator>Administrator</dc:creator>
  <cp:lastModifiedBy>lumengting</cp:lastModifiedBy>
  <dcterms:modified xsi:type="dcterms:W3CDTF">2026-01-09T01:45:27Z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eyJoZGlkIjoiYWE2ZmIwZWE5YzhiMWIyZjU2ZGM4NjI5NDg1YjBkYWIiLCJ1c2VySWQiOiI0MDYwOTE1OTEifQ==</vt:lpwstr>
  </property>
  <property fmtid="{D5CDD505-2E9C-101B-9397-08002B2CF9AE}" pid="4" name="ICV">
    <vt:lpwstr>580E8E6DE211420D9BB35FDEE2BD33B2_12</vt:lpwstr>
  </property>
</Properties>
</file>