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firstLine="720"/>
        <w:rPr>
          <w:sz w:val="36"/>
        </w:rPr>
      </w:pPr>
    </w:p>
    <w:p>
      <w:pPr>
        <w:pStyle w:val="16"/>
        <w:ind w:firstLine="720"/>
        <w:rPr>
          <w:sz w:val="36"/>
        </w:rPr>
      </w:pPr>
    </w:p>
    <w:p>
      <w:pPr>
        <w:pStyle w:val="16"/>
        <w:ind w:firstLine="720"/>
        <w:rPr>
          <w:sz w:val="36"/>
        </w:rPr>
      </w:pPr>
    </w:p>
    <w:p>
      <w:pPr>
        <w:pStyle w:val="16"/>
        <w:ind w:firstLine="720"/>
        <w:rPr>
          <w:sz w:val="36"/>
        </w:rPr>
      </w:pPr>
    </w:p>
    <w:p>
      <w:pPr>
        <w:pStyle w:val="16"/>
        <w:ind w:firstLine="720"/>
        <w:rPr>
          <w:sz w:val="36"/>
        </w:rPr>
      </w:pPr>
    </w:p>
    <w:p>
      <w:pPr>
        <w:pStyle w:val="16"/>
        <w:ind w:firstLine="720"/>
        <w:rPr>
          <w:sz w:val="36"/>
        </w:rPr>
      </w:pPr>
    </w:p>
    <w:p>
      <w:pPr>
        <w:pStyle w:val="16"/>
        <w:ind w:firstLine="0" w:firstLineChars="0"/>
        <w:jc w:val="center"/>
        <w:rPr>
          <w:b/>
          <w:sz w:val="36"/>
        </w:rPr>
      </w:pPr>
      <w:r>
        <w:rPr>
          <w:rFonts w:hint="eastAsia"/>
          <w:b/>
          <w:sz w:val="36"/>
        </w:rPr>
        <w:t>粮食流通产业发展资金</w:t>
      </w:r>
      <w:r>
        <w:rPr>
          <w:b/>
          <w:sz w:val="36"/>
        </w:rPr>
        <w:t>项目绩效评价报告</w:t>
      </w:r>
    </w:p>
    <w:p>
      <w:pPr>
        <w:pStyle w:val="16"/>
        <w:ind w:firstLine="720"/>
        <w:rPr>
          <w:sz w:val="36"/>
        </w:rPr>
      </w:pPr>
    </w:p>
    <w:p>
      <w:pPr>
        <w:pStyle w:val="16"/>
        <w:ind w:firstLine="720"/>
        <w:rPr>
          <w:sz w:val="36"/>
        </w:rPr>
      </w:pPr>
    </w:p>
    <w:p>
      <w:pPr>
        <w:pStyle w:val="16"/>
        <w:ind w:firstLine="720"/>
        <w:rPr>
          <w:sz w:val="36"/>
        </w:rPr>
      </w:pPr>
    </w:p>
    <w:p>
      <w:pPr>
        <w:pStyle w:val="16"/>
        <w:spacing w:line="700" w:lineRule="exact"/>
        <w:ind w:firstLine="720"/>
        <w:rPr>
          <w:sz w:val="36"/>
        </w:rPr>
      </w:pPr>
      <w:r>
        <w:rPr>
          <w:rFonts w:hint="eastAsia"/>
          <w:sz w:val="36"/>
        </w:rPr>
        <w:t>项目名称：粮食流通产业发展资金</w:t>
      </w:r>
      <w:r>
        <w:rPr>
          <w:sz w:val="36"/>
        </w:rPr>
        <w:t>项目绩效评价</w:t>
      </w:r>
    </w:p>
    <w:p>
      <w:pPr>
        <w:pStyle w:val="16"/>
        <w:spacing w:line="700" w:lineRule="exact"/>
        <w:ind w:firstLine="720"/>
        <w:rPr>
          <w:sz w:val="36"/>
        </w:rPr>
      </w:pPr>
      <w:r>
        <w:rPr>
          <w:sz w:val="36"/>
        </w:rPr>
        <w:tab/>
      </w:r>
      <w:r>
        <w:rPr>
          <w:sz w:val="36"/>
        </w:rPr>
        <w:t>委托单位：嘉鱼县发展和改革局</w:t>
      </w:r>
    </w:p>
    <w:p>
      <w:pPr>
        <w:pStyle w:val="16"/>
        <w:spacing w:line="700" w:lineRule="exact"/>
        <w:ind w:firstLine="720"/>
        <w:rPr>
          <w:sz w:val="36"/>
        </w:rPr>
      </w:pPr>
      <w:r>
        <w:rPr>
          <w:sz w:val="36"/>
        </w:rPr>
        <w:tab/>
      </w:r>
      <w:r>
        <w:rPr>
          <w:sz w:val="36"/>
        </w:rPr>
        <w:t>项目单位：嘉鱼县发展和改革局</w:t>
      </w:r>
    </w:p>
    <w:p>
      <w:pPr>
        <w:pStyle w:val="16"/>
        <w:spacing w:line="700" w:lineRule="exact"/>
        <w:ind w:firstLine="720"/>
        <w:rPr>
          <w:sz w:val="36"/>
        </w:rPr>
      </w:pPr>
      <w:r>
        <w:rPr>
          <w:sz w:val="36"/>
        </w:rPr>
        <w:tab/>
      </w:r>
      <w:r>
        <w:rPr>
          <w:sz w:val="36"/>
        </w:rPr>
        <w:t>评价机构：</w:t>
      </w:r>
      <w:r>
        <w:rPr>
          <w:rFonts w:hint="eastAsia"/>
          <w:sz w:val="36"/>
        </w:rPr>
        <w:t>嘉鱼县正平财务咨询有限责任公司</w:t>
      </w:r>
      <w:r>
        <w:rPr>
          <w:sz w:val="36"/>
        </w:rPr>
        <w:t xml:space="preserve"> </w:t>
      </w:r>
    </w:p>
    <w:p>
      <w:pPr>
        <w:pStyle w:val="16"/>
        <w:spacing w:line="700" w:lineRule="exact"/>
        <w:ind w:firstLine="720"/>
        <w:rPr>
          <w:sz w:val="36"/>
        </w:rPr>
      </w:pPr>
    </w:p>
    <w:p>
      <w:pPr>
        <w:pStyle w:val="16"/>
        <w:ind w:firstLine="0" w:firstLineChars="0"/>
        <w:jc w:val="center"/>
        <w:rPr>
          <w:sz w:val="36"/>
        </w:rPr>
        <w:sectPr>
          <w:footerReference r:id="rId3" w:type="default"/>
          <w:pgSz w:w="11906" w:h="16838"/>
          <w:pgMar w:top="1440" w:right="1797" w:bottom="1440" w:left="1797" w:header="850" w:footer="850" w:gutter="0"/>
          <w:cols w:space="425" w:num="1"/>
          <w:docGrid w:type="lines" w:linePitch="312" w:charSpace="0"/>
        </w:sectPr>
      </w:pPr>
      <w:r>
        <w:rPr>
          <w:rFonts w:hint="eastAsia"/>
          <w:sz w:val="36"/>
        </w:rPr>
        <w:t>二零二四年五月</w:t>
      </w:r>
    </w:p>
    <w:p>
      <w:pPr>
        <w:pStyle w:val="16"/>
        <w:ind w:firstLine="0" w:firstLineChars="0"/>
        <w:jc w:val="center"/>
        <w:rPr>
          <w:rFonts w:ascii="黑体" w:hAnsi="黑体" w:eastAsia="黑体"/>
          <w:b/>
          <w:sz w:val="36"/>
          <w:szCs w:val="36"/>
        </w:rPr>
      </w:pPr>
      <w:r>
        <w:rPr>
          <w:rFonts w:hint="eastAsia" w:ascii="黑体" w:hAnsi="黑体" w:eastAsia="黑体"/>
          <w:b/>
          <w:sz w:val="36"/>
          <w:szCs w:val="36"/>
        </w:rPr>
        <w:t>2023年嘉鱼县</w:t>
      </w:r>
      <w:r>
        <w:rPr>
          <w:rFonts w:ascii="黑体" w:hAnsi="黑体" w:eastAsia="黑体"/>
          <w:b/>
          <w:sz w:val="36"/>
          <w:szCs w:val="36"/>
        </w:rPr>
        <w:t>发展和改革局</w:t>
      </w:r>
    </w:p>
    <w:p>
      <w:pPr>
        <w:pStyle w:val="16"/>
        <w:ind w:firstLine="0" w:firstLineChars="0"/>
        <w:jc w:val="center"/>
        <w:rPr>
          <w:b/>
          <w:sz w:val="32"/>
        </w:rPr>
      </w:pPr>
      <w:r>
        <w:rPr>
          <w:rFonts w:hint="eastAsia" w:ascii="黑体" w:hAnsi="黑体" w:eastAsia="黑体"/>
          <w:b/>
          <w:sz w:val="36"/>
          <w:szCs w:val="36"/>
        </w:rPr>
        <w:t>粮食流通产业发展资金</w:t>
      </w:r>
      <w:r>
        <w:rPr>
          <w:rFonts w:hint="eastAsia" w:ascii="黑体" w:hAnsi="黑体" w:eastAsia="黑体"/>
          <w:b/>
          <w:sz w:val="36"/>
          <w:szCs w:val="36"/>
          <w:lang w:val="en-US" w:eastAsia="zh-CN"/>
        </w:rPr>
        <w:t>项目</w:t>
      </w:r>
      <w:r>
        <w:rPr>
          <w:rFonts w:ascii="黑体" w:hAnsi="黑体" w:eastAsia="黑体"/>
          <w:b/>
          <w:sz w:val="36"/>
          <w:szCs w:val="36"/>
        </w:rPr>
        <w:t>绩效评价报告</w:t>
      </w:r>
    </w:p>
    <w:p>
      <w:pPr>
        <w:pStyle w:val="16"/>
        <w:rPr>
          <w:rFonts w:hint="eastAsia"/>
        </w:rPr>
      </w:pPr>
    </w:p>
    <w:p>
      <w:pPr>
        <w:pStyle w:val="16"/>
        <w:ind w:firstLine="0" w:firstLineChars="0"/>
        <w:jc w:val="both"/>
      </w:pPr>
      <w:r>
        <w:rPr>
          <w:rFonts w:hint="eastAsia"/>
        </w:rPr>
        <w:t>嘉鱼县发展和改革局：</w:t>
      </w:r>
    </w:p>
    <w:p>
      <w:pPr>
        <w:pStyle w:val="16"/>
      </w:pPr>
      <w:r>
        <w:rPr>
          <w:rFonts w:hint="eastAsia"/>
        </w:rPr>
        <w:t>根据《湖北省财政厅关于印发全面实施预算绩效管理系列制度的通知》（鄂财绩发</w:t>
      </w:r>
      <w:r>
        <w:t>[2020]3号）、《湖北省财政厅关于进一步推动市县全面实施预算绩效管理改革的通知》（鄂财绩发[2022]5号）、《关于开展2024年度预算绩效评价管理工作的通知》（鄂财函[2024]18号）等文件，受嘉鱼县发展和改革局</w:t>
      </w:r>
      <w:r>
        <w:rPr>
          <w:rFonts w:hint="eastAsia"/>
        </w:rPr>
        <w:t>（以下简称“县发改局”）</w:t>
      </w:r>
      <w:r>
        <w:t>委托，对嘉鱼县发展和改革局2023年度</w:t>
      </w:r>
      <w:r>
        <w:rPr>
          <w:rFonts w:hint="eastAsia"/>
        </w:rPr>
        <w:t>粮食流通产业发展资金</w:t>
      </w:r>
      <w:r>
        <w:rPr>
          <w:rFonts w:hint="eastAsia"/>
          <w:lang w:val="en-US" w:eastAsia="zh-CN"/>
        </w:rPr>
        <w:t>项目</w:t>
      </w:r>
      <w:r>
        <w:t>进行绩效评价，评价工作已经完成，现将有关情况报告如下。</w:t>
      </w:r>
    </w:p>
    <w:p>
      <w:pPr>
        <w:pStyle w:val="16"/>
        <w:ind w:firstLine="560"/>
        <w:rPr>
          <w:rStyle w:val="9"/>
        </w:rPr>
      </w:pPr>
      <w:r>
        <w:rPr>
          <w:rStyle w:val="9"/>
        </w:rPr>
        <w:t>一、项目基本情况</w:t>
      </w:r>
    </w:p>
    <w:p>
      <w:pPr>
        <w:pStyle w:val="10"/>
        <w:ind w:firstLine="560" w:firstLineChars="200"/>
      </w:pPr>
      <w:r>
        <w:t>项目背景</w:t>
      </w:r>
    </w:p>
    <w:p>
      <w:pPr>
        <w:pStyle w:val="16"/>
      </w:pPr>
      <w:r>
        <w:rPr>
          <w:rFonts w:hint="eastAsia"/>
        </w:rPr>
        <w:t>嘉鱼县，古名沙阳堡，取《诗经·小雅·南有嘉鱼》之义得名，是湖北省</w:t>
      </w:r>
      <w:r>
        <w:rPr>
          <w:rFonts w:hint="eastAsia"/>
          <w:lang w:val="en-US" w:eastAsia="zh-CN"/>
        </w:rPr>
        <w:t>咸宁</w:t>
      </w:r>
      <w:r>
        <w:rPr>
          <w:rFonts w:hint="eastAsia"/>
        </w:rPr>
        <w:t>市下辖县，地处长江中游南岸，北与武汉接壤，南同赤壁市毗邻，东距咸宁市区</w:t>
      </w:r>
      <w:r>
        <w:t>40公里，西与洪湖市隔江相望，为武汉城市圈重要组成部分。</w:t>
      </w:r>
      <w:r>
        <w:rPr>
          <w:rFonts w:hint="eastAsia"/>
        </w:rPr>
        <w:t>粮食安全关系到国家的经济稳定、社会安定和国家安全。保障粮食供应和稳定粮价是各国政府的重要任务。特别是在全球气候变化、自然灾害频发以及国际贸易不确定性的背景下，确保粮食供应链的稳定尤为重要。粮食流通产业包括粮食的储存、运输、加工和分配等环节。一个高效的粮食流通体系可以减少粮食损耗，提高粮食供应链的效率，保障粮食从生产者到消费者的顺畅流动。发展现代化的粮食流通体系，有助于降低粮食成本，提高粮食的市场竞争力</w:t>
      </w:r>
      <w:r>
        <w:t>。</w:t>
      </w:r>
    </w:p>
    <w:p>
      <w:pPr>
        <w:pStyle w:val="10"/>
        <w:keepNext w:val="0"/>
        <w:keepLines w:val="0"/>
        <w:pageBreakBefore w:val="0"/>
        <w:widowControl/>
        <w:kinsoku/>
        <w:wordWrap/>
        <w:overflowPunct/>
        <w:topLinePunct w:val="0"/>
        <w:autoSpaceDE/>
        <w:autoSpaceDN/>
        <w:bidi w:val="0"/>
        <w:adjustRightInd/>
        <w:snapToGrid w:val="0"/>
        <w:ind w:firstLine="560" w:firstLineChars="200"/>
        <w:textAlignment w:val="center"/>
      </w:pPr>
      <w:r>
        <w:t>主管部门职能</w:t>
      </w:r>
    </w:p>
    <w:p>
      <w:pPr>
        <w:pStyle w:val="16"/>
      </w:pPr>
      <w:r>
        <w:rPr>
          <w:rFonts w:hint="eastAsia"/>
        </w:rPr>
        <w:t>依据</w:t>
      </w:r>
      <w:r>
        <w:t>职</w:t>
      </w:r>
      <w:r>
        <w:rPr>
          <w:rFonts w:hint="eastAsia"/>
        </w:rPr>
        <w:t>能划分，县发改局负责全县粮食流通产业发展的有关工作。县发改局的部门职能是：落实粮食安全行政首长责任制，组织粮食流通和储备等相关配套政策法规的起草和宣传。拟订全县粮食产业化发展规划，提出目标和措施并组织实施。研究提出全县粮食宏观调控、总量平衡、粮食购销建议。承担全县粮食监测预警和应急责任。制订全县粮食流通、粮食库存监督检查制度并组织实施。承担全县粮食储粮管理和安全生产工作。制订粮食质量监督检测管理办法和制度，并监督执行。</w:t>
      </w:r>
    </w:p>
    <w:p>
      <w:pPr>
        <w:pStyle w:val="16"/>
      </w:pPr>
      <w:r>
        <w:rPr>
          <w:rFonts w:hint="eastAsia"/>
        </w:rPr>
        <w:t>县发改局内设粮食综合管理股负责全县粮食流通产业发展的有关工作。粮食综合管理股的主要工作为：研究提出全县粮食流通体制改革方案及相关措施并组织实施。组织协调粮食安全行政首长责任制考核工作。拟订全县粮油产业和市场体系发展规划，指导全</w:t>
      </w:r>
      <w:r>
        <w:rPr>
          <w:rFonts w:hint="eastAsia"/>
          <w:lang w:val="en-US" w:eastAsia="zh-CN"/>
        </w:rPr>
        <w:t>县</w:t>
      </w:r>
      <w:r>
        <w:rPr>
          <w:rFonts w:hint="eastAsia"/>
        </w:rPr>
        <w:t>粮油产业发展的具体业务工作，拟订有关制度、办法并监督执行。组织粮油工业科技推广和交流合作。深入推进“优质粮食工程”和“放心粮油工程”。指导粮食行业信用体系建设。组织开展节粮爱粮宣传活动。监督检查全县粮食流通领域的法律法规、政策规章及各类储备粮计划、数量、质量和技术规范的执行情况。依法对粮食经营者从事粮食购销、储存、运输活动和政策性用粮购销活动的监督检查。组织开展全县各类粮食库存检查。拟订全县地方储备粮油的规模、总体布局和收购、销售、轮换计划并组织实施。负责全县粮食流通统计、粮食供求平衡调查、市场监测和预警分析工作。协调最低收购价粮食购销政策实施。协调落实政策性粮食补贴资金，监管地方储备粮轮换风险准备金。协调粮食收购资金的筹措和供应，参与粮食信贷资金监管。依权限审核粮食收购库点资格。拟订全县粮食流通基础设施建设规划，对仓储设施建设项目进行监管。负责全县粮食仓储管理和安全储粮、安全生产工作。指导全县粮食应急培训和应急演练，承担粮食应急预案启动后的组织实施。指导全县国有粮食企业深化改革。牵头负责协调落实“粮安工程”有关工作。</w:t>
      </w:r>
    </w:p>
    <w:p>
      <w:pPr>
        <w:pStyle w:val="10"/>
        <w:ind w:firstLine="560" w:firstLineChars="200"/>
        <w:rPr>
          <w:rFonts w:hint="eastAsia"/>
        </w:rPr>
      </w:pPr>
      <w:r>
        <w:rPr>
          <w:rFonts w:hint="eastAsia"/>
        </w:rPr>
        <w:t>资金管理情况</w:t>
      </w:r>
    </w:p>
    <w:p>
      <w:pPr>
        <w:pStyle w:val="16"/>
        <w:rPr>
          <w:rFonts w:hint="eastAsia"/>
        </w:rPr>
      </w:pPr>
      <w:r>
        <w:rPr>
          <w:rFonts w:hint="eastAsia"/>
        </w:rPr>
        <w:t>粮食流通产业发展资金项目支出</w:t>
      </w:r>
      <w:r>
        <w:t>1,120,000.00元</w:t>
      </w:r>
      <w:r>
        <w:rPr>
          <w:rFonts w:hint="eastAsia"/>
        </w:rPr>
        <w:t>，均为财政预算拨款。</w:t>
      </w:r>
    </w:p>
    <w:p>
      <w:pPr>
        <w:pStyle w:val="7"/>
        <w:ind w:firstLine="560" w:firstLineChars="200"/>
      </w:pPr>
      <w:r>
        <w:t>绩效评价组织实施</w:t>
      </w:r>
    </w:p>
    <w:p>
      <w:pPr>
        <w:pStyle w:val="10"/>
        <w:ind w:firstLine="560" w:firstLineChars="200"/>
        <w:rPr>
          <w:rFonts w:hint="eastAsia"/>
        </w:rPr>
      </w:pPr>
      <w:r>
        <w:rPr>
          <w:rFonts w:hint="eastAsia"/>
        </w:rPr>
        <w:t>评价目的</w:t>
      </w:r>
    </w:p>
    <w:p>
      <w:pPr>
        <w:pStyle w:val="16"/>
        <w:rPr>
          <w:rFonts w:hint="eastAsia"/>
        </w:rPr>
      </w:pPr>
      <w:r>
        <w:rPr>
          <w:rFonts w:hint="eastAsia"/>
        </w:rPr>
        <w:t>通过对粮食流通产业发展</w:t>
      </w:r>
      <w:r>
        <w:rPr>
          <w:rFonts w:hint="eastAsia"/>
          <w:lang w:val="en-US" w:eastAsia="zh-CN"/>
        </w:rPr>
        <w:t>项目</w:t>
      </w:r>
      <w:r>
        <w:rPr>
          <w:rFonts w:hint="eastAsia"/>
        </w:rPr>
        <w:t>绩效进行评价，评价项目实施的效果和影响，以确保粮食流通产业发展资金使用的效率和有效性，</w:t>
      </w:r>
      <w:r>
        <w:t>规范财政资金使用，切实发挥财政资金的作用与效果</w:t>
      </w:r>
      <w:r>
        <w:rPr>
          <w:rFonts w:hint="eastAsia"/>
        </w:rPr>
        <w:t>，促进粮食流通产业的健康发展。</w:t>
      </w:r>
    </w:p>
    <w:p>
      <w:pPr>
        <w:spacing w:line="560" w:lineRule="exact"/>
        <w:ind w:firstLine="480"/>
        <w:rPr>
          <w:rFonts w:hint="default" w:ascii="Times New Roman" w:hAnsi="Times New Roman" w:eastAsia="宋体" w:cs="Times New Roman"/>
          <w:kern w:val="2"/>
          <w:sz w:val="24"/>
          <w:szCs w:val="28"/>
          <w:lang w:val="en-US" w:eastAsia="zh-CN" w:bidi="ar-SA"/>
        </w:rPr>
      </w:pPr>
      <w:r>
        <w:rPr>
          <w:rFonts w:hint="default" w:ascii="Times New Roman" w:hAnsi="Times New Roman" w:eastAsia="宋体" w:cs="Times New Roman"/>
          <w:kern w:val="2"/>
          <w:sz w:val="24"/>
          <w:szCs w:val="28"/>
          <w:lang w:val="en-US" w:eastAsia="zh-CN" w:bidi="ar-SA"/>
        </w:rPr>
        <w:t>1、设置科学合理的绩效评价指标体系，围绕评价指标体系对项目的绩效情况和绩效目标完成情况进行分析、评分，根据绩效分析和评分情况对项目的整体绩效做出结论。</w:t>
      </w:r>
    </w:p>
    <w:p>
      <w:pPr>
        <w:spacing w:line="560" w:lineRule="exact"/>
        <w:ind w:firstLine="480"/>
        <w:rPr>
          <w:rFonts w:hint="default" w:ascii="Times New Roman" w:hAnsi="Times New Roman" w:eastAsia="宋体" w:cs="Times New Roman"/>
          <w:kern w:val="2"/>
          <w:sz w:val="24"/>
          <w:szCs w:val="28"/>
          <w:lang w:val="en-US" w:eastAsia="zh-CN" w:bidi="ar-SA"/>
        </w:rPr>
      </w:pPr>
      <w:r>
        <w:rPr>
          <w:rFonts w:hint="default" w:ascii="Times New Roman" w:hAnsi="Times New Roman" w:eastAsia="宋体" w:cs="Times New Roman"/>
          <w:kern w:val="2"/>
          <w:sz w:val="24"/>
          <w:szCs w:val="28"/>
          <w:lang w:val="en-US" w:eastAsia="zh-CN" w:bidi="ar-SA"/>
        </w:rPr>
        <w:t>2、通过绩效评价了解</w:t>
      </w:r>
      <w:r>
        <w:rPr>
          <w:rFonts w:hint="eastAsia" w:ascii="Times New Roman" w:hAnsi="Times New Roman" w:eastAsia="宋体" w:cs="Times New Roman"/>
          <w:kern w:val="2"/>
          <w:sz w:val="24"/>
          <w:szCs w:val="28"/>
          <w:lang w:val="en-US" w:eastAsia="zh-CN" w:bidi="ar-SA"/>
        </w:rPr>
        <w:t>粮食流通产业发展项目</w:t>
      </w:r>
      <w:r>
        <w:rPr>
          <w:rFonts w:hint="default" w:ascii="Times New Roman" w:hAnsi="Times New Roman" w:eastAsia="宋体" w:cs="Times New Roman"/>
          <w:kern w:val="2"/>
          <w:sz w:val="24"/>
          <w:szCs w:val="28"/>
          <w:lang w:val="en-US" w:eastAsia="zh-CN" w:bidi="ar-SA"/>
        </w:rPr>
        <w:t>资金</w:t>
      </w:r>
      <w:r>
        <w:rPr>
          <w:rFonts w:hint="default" w:ascii="Times New Roman" w:hAnsi="Times New Roman" w:eastAsia="宋体" w:cs="Times New Roman"/>
          <w:kern w:val="2"/>
          <w:sz w:val="24"/>
          <w:szCs w:val="28"/>
          <w:lang w:val="en-US" w:eastAsia="zh-CN" w:bidi="ar-SA"/>
        </w:rPr>
        <w:t>的使用情况，为合理分配资金、优化支出结构提供依据。</w:t>
      </w:r>
    </w:p>
    <w:p>
      <w:pPr>
        <w:spacing w:line="560" w:lineRule="exact"/>
        <w:ind w:firstLine="480"/>
        <w:rPr>
          <w:rFonts w:hint="eastAsia"/>
        </w:rPr>
      </w:pPr>
      <w:r>
        <w:rPr>
          <w:rFonts w:hint="default" w:ascii="Times New Roman" w:hAnsi="Times New Roman" w:eastAsia="宋体" w:cs="Times New Roman"/>
          <w:kern w:val="2"/>
          <w:sz w:val="24"/>
          <w:szCs w:val="28"/>
          <w:lang w:val="en-US" w:eastAsia="zh-CN" w:bidi="ar-SA"/>
        </w:rPr>
        <w:t>3、总结项目实施的经验教训，并为进一步加强项目资金管理、提高资金使用效益提供参考依据。</w:t>
      </w:r>
    </w:p>
    <w:p>
      <w:pPr>
        <w:pStyle w:val="10"/>
      </w:pPr>
      <w:r>
        <w:t>评价原则</w:t>
      </w:r>
    </w:p>
    <w:p>
      <w:pPr>
        <w:spacing w:line="560" w:lineRule="exact"/>
        <w:ind w:firstLine="480"/>
        <w:rPr>
          <w:rFonts w:hint="default" w:ascii="Times New Roman" w:hAnsi="Times New Roman" w:eastAsia="宋体" w:cs="Times New Roman"/>
          <w:kern w:val="2"/>
          <w:sz w:val="24"/>
          <w:szCs w:val="28"/>
          <w:lang w:val="en-US" w:eastAsia="zh-CN" w:bidi="ar-SA"/>
        </w:rPr>
      </w:pPr>
      <w:r>
        <w:rPr>
          <w:rFonts w:hint="default" w:ascii="Times New Roman" w:hAnsi="Times New Roman" w:eastAsia="宋体" w:cs="Times New Roman"/>
          <w:kern w:val="2"/>
          <w:sz w:val="24"/>
          <w:szCs w:val="28"/>
          <w:lang w:val="en-US" w:eastAsia="zh-CN" w:bidi="ar-SA"/>
        </w:rPr>
        <w:t>绩效评价工作遵循以下原则：</w:t>
      </w:r>
    </w:p>
    <w:p>
      <w:pPr>
        <w:spacing w:line="560" w:lineRule="exact"/>
        <w:ind w:firstLine="480"/>
        <w:rPr>
          <w:rFonts w:hint="default" w:ascii="Times New Roman" w:hAnsi="Times New Roman" w:eastAsia="宋体" w:cs="Times New Roman"/>
          <w:kern w:val="2"/>
          <w:sz w:val="24"/>
          <w:szCs w:val="28"/>
          <w:lang w:val="en-US" w:eastAsia="zh-CN" w:bidi="ar-SA"/>
        </w:rPr>
      </w:pPr>
      <w:r>
        <w:rPr>
          <w:rFonts w:hint="eastAsia" w:ascii="Times New Roman" w:hAnsi="Times New Roman" w:eastAsia="宋体" w:cs="Times New Roman"/>
          <w:kern w:val="2"/>
          <w:sz w:val="24"/>
          <w:szCs w:val="28"/>
          <w:lang w:val="en-US" w:eastAsia="zh-CN" w:bidi="ar-SA"/>
        </w:rPr>
        <w:t>1、</w:t>
      </w:r>
      <w:r>
        <w:rPr>
          <w:rFonts w:hint="default" w:ascii="Times New Roman" w:hAnsi="Times New Roman" w:eastAsia="宋体" w:cs="Times New Roman"/>
          <w:kern w:val="2"/>
          <w:sz w:val="24"/>
          <w:szCs w:val="28"/>
          <w:lang w:val="en-US" w:eastAsia="zh-CN" w:bidi="ar-SA"/>
        </w:rPr>
        <w:t>科学规范原则。评价指标设计科学，能系统地反映出资金支出的经济性、效率性和有效性，严格执行规定的程序和流程，采用目标比较法、实地调研法、定性与定量相结合的方法，开展绩效评价工作。</w:t>
      </w:r>
    </w:p>
    <w:p>
      <w:pPr>
        <w:spacing w:line="560" w:lineRule="exact"/>
        <w:ind w:firstLine="480"/>
        <w:rPr>
          <w:rFonts w:hint="default" w:ascii="Times New Roman" w:hAnsi="Times New Roman" w:eastAsia="宋体" w:cs="Times New Roman"/>
          <w:kern w:val="2"/>
          <w:sz w:val="24"/>
          <w:szCs w:val="28"/>
          <w:lang w:val="en-US" w:eastAsia="zh-CN" w:bidi="ar-SA"/>
        </w:rPr>
      </w:pPr>
      <w:r>
        <w:rPr>
          <w:rFonts w:hint="eastAsia" w:ascii="Times New Roman" w:hAnsi="Times New Roman" w:eastAsia="宋体" w:cs="Times New Roman"/>
          <w:kern w:val="2"/>
          <w:sz w:val="24"/>
          <w:szCs w:val="28"/>
          <w:lang w:val="en-US" w:eastAsia="zh-CN" w:bidi="ar-SA"/>
        </w:rPr>
        <w:t>2、</w:t>
      </w:r>
      <w:r>
        <w:rPr>
          <w:rFonts w:hint="default" w:ascii="Times New Roman" w:hAnsi="Times New Roman" w:eastAsia="宋体" w:cs="Times New Roman"/>
          <w:kern w:val="2"/>
          <w:sz w:val="24"/>
          <w:szCs w:val="28"/>
          <w:lang w:val="en-US" w:eastAsia="zh-CN" w:bidi="ar-SA"/>
        </w:rPr>
        <w:t>公正公开原则。在确定测评对象、掌握测评标准及实施测评时，贯彻公平公正观念，体现客观公允标准，实事求是地对项目绩效进行测评。</w:t>
      </w:r>
    </w:p>
    <w:p>
      <w:pPr>
        <w:spacing w:line="560" w:lineRule="exact"/>
        <w:ind w:firstLine="480"/>
        <w:rPr>
          <w:rFonts w:hint="default" w:ascii="Times New Roman" w:hAnsi="Times New Roman" w:eastAsia="宋体" w:cs="Times New Roman"/>
          <w:kern w:val="2"/>
          <w:sz w:val="24"/>
          <w:szCs w:val="28"/>
          <w:lang w:val="en-US" w:eastAsia="zh-CN" w:bidi="ar-SA"/>
        </w:rPr>
      </w:pPr>
      <w:r>
        <w:rPr>
          <w:rFonts w:hint="eastAsia" w:ascii="Times New Roman" w:hAnsi="Times New Roman" w:eastAsia="宋体" w:cs="Times New Roman"/>
          <w:kern w:val="2"/>
          <w:sz w:val="24"/>
          <w:szCs w:val="28"/>
          <w:lang w:val="en-US" w:eastAsia="zh-CN" w:bidi="ar-SA"/>
        </w:rPr>
        <w:t>3、</w:t>
      </w:r>
      <w:r>
        <w:rPr>
          <w:rFonts w:hint="default" w:ascii="Times New Roman" w:hAnsi="Times New Roman" w:eastAsia="宋体" w:cs="Times New Roman"/>
          <w:kern w:val="2"/>
          <w:sz w:val="24"/>
          <w:szCs w:val="28"/>
          <w:lang w:val="en-US" w:eastAsia="zh-CN" w:bidi="ar-SA"/>
        </w:rPr>
        <w:t>突出重点原则。多角度、全方位把握，综合采用各种方法予以分析研究，全面反映被评价项目的绩效。同时，注重项目实施过程的特殊性，筛选出最重要和关键的绩效因素，突出项目的特点。</w:t>
      </w:r>
    </w:p>
    <w:p>
      <w:pPr>
        <w:spacing w:line="560" w:lineRule="exact"/>
        <w:ind w:firstLine="480"/>
        <w:rPr>
          <w:rFonts w:hint="default" w:ascii="Times New Roman" w:hAnsi="Times New Roman" w:eastAsia="宋体" w:cs="Times New Roman"/>
          <w:kern w:val="2"/>
          <w:sz w:val="24"/>
          <w:szCs w:val="28"/>
          <w:lang w:val="en-US" w:eastAsia="zh-CN" w:bidi="ar-SA"/>
        </w:rPr>
      </w:pPr>
      <w:r>
        <w:rPr>
          <w:rFonts w:hint="eastAsia" w:ascii="Times New Roman" w:hAnsi="Times New Roman" w:eastAsia="宋体" w:cs="Times New Roman"/>
          <w:kern w:val="2"/>
          <w:sz w:val="24"/>
          <w:szCs w:val="28"/>
          <w:lang w:val="en-US" w:eastAsia="zh-CN" w:bidi="ar-SA"/>
        </w:rPr>
        <w:t>4、</w:t>
      </w:r>
      <w:r>
        <w:rPr>
          <w:rFonts w:hint="default" w:ascii="Times New Roman" w:hAnsi="Times New Roman" w:eastAsia="宋体" w:cs="Times New Roman"/>
          <w:kern w:val="2"/>
          <w:sz w:val="24"/>
          <w:szCs w:val="28"/>
          <w:lang w:val="en-US" w:eastAsia="zh-CN" w:bidi="ar-SA"/>
        </w:rPr>
        <w:t>绩效相关原则。项目绩效评价工作针对具体支出及其产出绩效，评价结果能够清晰反映项目过程和产出绩效之间的紧密对应关系，反映绩效目标的实现程度。</w:t>
      </w:r>
    </w:p>
    <w:p>
      <w:pPr>
        <w:pStyle w:val="10"/>
      </w:pPr>
      <w:r>
        <w:t>评价方法</w:t>
      </w:r>
    </w:p>
    <w:p>
      <w:pPr>
        <w:pStyle w:val="16"/>
      </w:pPr>
      <w:r>
        <w:t>本次评价以比较法为主，因素分析法、公众评判法等方法为辅，采取定量与定性相结合的办法进行评价。即在比较分析和评定的基础上最终通过得分多少将项目绩效评定为优、良、一般、较差四个等</w:t>
      </w:r>
      <w:r>
        <w:rPr>
          <w:rFonts w:hint="eastAsia"/>
        </w:rPr>
        <w:t>级，得分</w:t>
      </w:r>
      <w:r>
        <w:t xml:space="preserve"> 90 分以上为优秀、80-90(不含)分为良好、60-80(不含)分为一般、60 分以下为较差。</w:t>
      </w:r>
    </w:p>
    <w:p>
      <w:pPr>
        <w:pStyle w:val="16"/>
        <w:numPr>
          <w:ilvl w:val="0"/>
          <w:numId w:val="2"/>
        </w:numPr>
        <w:rPr>
          <w:rFonts w:hint="default" w:ascii="Times New Roman" w:hAnsi="Times New Roman" w:cs="Times New Roman"/>
        </w:rPr>
      </w:pPr>
      <w:r>
        <w:rPr>
          <w:rFonts w:hint="default" w:ascii="Times New Roman" w:hAnsi="Times New Roman" w:cs="Times New Roman"/>
        </w:rPr>
        <w:t>目标比较法。目标比较法是指通过对项目实际产出与预定目标的比较，分析完成目标或未完成目标的原因，从而评价绩效状况的方法。</w:t>
      </w:r>
    </w:p>
    <w:p>
      <w:pPr>
        <w:pStyle w:val="16"/>
        <w:numPr>
          <w:ilvl w:val="0"/>
          <w:numId w:val="2"/>
        </w:numPr>
        <w:rPr>
          <w:rFonts w:hint="default" w:ascii="Times New Roman" w:hAnsi="Times New Roman" w:cs="Times New Roman"/>
        </w:rPr>
      </w:pPr>
      <w:r>
        <w:t>评价</w:t>
      </w:r>
      <w:r>
        <w:rPr>
          <w:rFonts w:hint="eastAsia"/>
        </w:rPr>
        <w:t>因素分析法</w:t>
      </w:r>
      <w:r>
        <w:rPr>
          <w:rFonts w:hint="eastAsia"/>
          <w:lang w:eastAsia="zh-CN"/>
        </w:rPr>
        <w:t>。</w:t>
      </w:r>
      <w:r>
        <w:rPr>
          <w:rFonts w:hint="eastAsia"/>
        </w:rPr>
        <w:t>是指综合分析影响绩效目标实现、实施效果的内外部因素的方法</w:t>
      </w:r>
      <w:r>
        <w:rPr>
          <w:rFonts w:hint="eastAsia"/>
          <w:lang w:eastAsia="zh-CN"/>
        </w:rPr>
        <w:t>。</w:t>
      </w:r>
    </w:p>
    <w:p>
      <w:pPr>
        <w:pStyle w:val="16"/>
        <w:numPr>
          <w:ilvl w:val="0"/>
          <w:numId w:val="2"/>
        </w:numPr>
        <w:rPr>
          <w:rFonts w:hint="default" w:ascii="Times New Roman" w:hAnsi="Times New Roman" w:cs="Times New Roman"/>
        </w:rPr>
      </w:pPr>
      <w:r>
        <w:rPr>
          <w:rFonts w:hint="default" w:ascii="Times New Roman" w:hAnsi="Times New Roman" w:cs="Times New Roman"/>
        </w:rPr>
        <w:t>公众评判法是指对相关单位、部门以及人员发放满意度调查问卷，通过实施社会调查，以此评价社会对项目的社会公众满意度。</w:t>
      </w:r>
    </w:p>
    <w:p>
      <w:pPr>
        <w:pStyle w:val="10"/>
      </w:pPr>
      <w:r>
        <w:t>组织实施</w:t>
      </w:r>
    </w:p>
    <w:p>
      <w:pPr>
        <w:pStyle w:val="12"/>
        <w:keepNext w:val="0"/>
        <w:keepLines w:val="0"/>
        <w:pageBreakBefore w:val="0"/>
        <w:widowControl/>
        <w:kinsoku/>
        <w:wordWrap/>
        <w:overflowPunct/>
        <w:topLinePunct w:val="0"/>
        <w:autoSpaceDE/>
        <w:autoSpaceDN/>
        <w:bidi w:val="0"/>
        <w:adjustRightInd/>
        <w:snapToGrid w:val="0"/>
        <w:ind w:firstLine="560" w:firstLineChars="200"/>
        <w:textAlignment w:val="center"/>
      </w:pPr>
      <w:r>
        <w:t>前期准备</w:t>
      </w:r>
    </w:p>
    <w:p>
      <w:pPr>
        <w:pStyle w:val="16"/>
        <w:rPr>
          <w:rFonts w:hint="default" w:ascii="Times New Roman" w:hAnsi="Times New Roman" w:cs="Times New Roman"/>
        </w:rPr>
      </w:pPr>
      <w:r>
        <w:rPr>
          <w:rFonts w:hint="default" w:ascii="Times New Roman" w:hAnsi="Times New Roman" w:cs="Times New Roman"/>
        </w:rPr>
        <w:t>（1）组建项目绩效评价工作组，拟订绩效评价工作计划。在明确评价目的、评价对象、范围及项目主要内容的基础上，根据绩效评价规范的要求，组建项目绩效评价工作组，收集、学习相关的政策、文件、制度，领会文件精神和具体工作要求，明确绩效评价工作的目标、任务、要求、原则、评价方法和资料收集方法等，拟订绩效评价工作计划。</w:t>
      </w:r>
    </w:p>
    <w:p>
      <w:pPr>
        <w:pStyle w:val="16"/>
        <w:rPr>
          <w:rFonts w:hint="default" w:ascii="Times New Roman" w:hAnsi="Times New Roman" w:cs="Times New Roman"/>
        </w:rPr>
      </w:pPr>
      <w:r>
        <w:rPr>
          <w:rFonts w:hint="default" w:ascii="Times New Roman" w:hAnsi="Times New Roman" w:cs="Times New Roman"/>
        </w:rPr>
        <w:t>（2）了解项目基本情况，确定绩效评价工作开展的方向和重点。绩效评价工作组收集、审阅项目政策及立项、批复的文件，项目实施、管理、工作总结等基本资料，与项目相关负责人员进行必要的前期沟通和了解、调查，形成初步的分析和判断，确定绩效评价工作开展的方向和重点。</w:t>
      </w:r>
    </w:p>
    <w:p>
      <w:pPr>
        <w:pStyle w:val="16"/>
        <w:rPr>
          <w:rFonts w:hint="default" w:ascii="Times New Roman" w:hAnsi="Times New Roman" w:cs="Times New Roman"/>
        </w:rPr>
      </w:pPr>
      <w:r>
        <w:rPr>
          <w:rFonts w:hint="default" w:ascii="Times New Roman" w:hAnsi="Times New Roman" w:cs="Times New Roman"/>
        </w:rPr>
        <w:t>（3）形成绩效评价工作方案。绩效评价工作组负责人对绩效评价工作任务进行分解，形成完整的绩效评价工作方案，指导项目成员组按相同标准、步骤规范化地展开绩效评价工作。</w:t>
      </w:r>
    </w:p>
    <w:p>
      <w:pPr>
        <w:pStyle w:val="12"/>
        <w:keepNext w:val="0"/>
        <w:keepLines w:val="0"/>
        <w:pageBreakBefore w:val="0"/>
        <w:widowControl/>
        <w:kinsoku/>
        <w:wordWrap/>
        <w:overflowPunct/>
        <w:topLinePunct w:val="0"/>
        <w:autoSpaceDE/>
        <w:autoSpaceDN/>
        <w:bidi w:val="0"/>
        <w:adjustRightInd/>
        <w:snapToGrid w:val="0"/>
        <w:ind w:firstLine="560" w:firstLineChars="200"/>
        <w:textAlignment w:val="center"/>
        <w:rPr>
          <w:rFonts w:hint="eastAsia"/>
        </w:rPr>
      </w:pPr>
      <w:r>
        <w:t>组织实施</w:t>
      </w:r>
    </w:p>
    <w:p>
      <w:pPr>
        <w:spacing w:line="560" w:lineRule="exact"/>
        <w:ind w:firstLine="480" w:firstLineChars="200"/>
        <w:rPr>
          <w:rFonts w:hint="default" w:ascii="Times New Roman" w:hAnsi="Times New Roman" w:eastAsia="宋体" w:cs="Times New Roman"/>
          <w:kern w:val="2"/>
          <w:sz w:val="24"/>
          <w:szCs w:val="28"/>
          <w:lang w:val="en-US" w:eastAsia="zh-CN" w:bidi="ar-SA"/>
        </w:rPr>
      </w:pPr>
      <w:r>
        <w:rPr>
          <w:rFonts w:hint="default" w:ascii="Times New Roman" w:hAnsi="Times New Roman" w:eastAsia="宋体" w:cs="Times New Roman"/>
          <w:kern w:val="2"/>
          <w:sz w:val="24"/>
          <w:szCs w:val="28"/>
          <w:lang w:val="en-US" w:eastAsia="zh-CN" w:bidi="ar-SA"/>
        </w:rPr>
        <w:t>（1）绩效评价工作组进驻项目单位，听取项目有关立项、方案批复、资金拨付及使用、项目管理、目标完成情况以及实施效果的介绍，初步了解项目情况。</w:t>
      </w:r>
    </w:p>
    <w:p>
      <w:pPr>
        <w:spacing w:line="560" w:lineRule="exact"/>
        <w:ind w:firstLine="480" w:firstLineChars="200"/>
        <w:rPr>
          <w:rFonts w:hint="default" w:ascii="Times New Roman" w:hAnsi="Times New Roman" w:eastAsia="宋体" w:cs="Times New Roman"/>
          <w:kern w:val="2"/>
          <w:sz w:val="24"/>
          <w:szCs w:val="28"/>
          <w:lang w:val="en-US" w:eastAsia="zh-CN" w:bidi="ar-SA"/>
        </w:rPr>
      </w:pPr>
      <w:r>
        <w:rPr>
          <w:rFonts w:hint="default" w:ascii="Times New Roman" w:hAnsi="Times New Roman" w:eastAsia="宋体" w:cs="Times New Roman"/>
          <w:kern w:val="2"/>
          <w:sz w:val="24"/>
          <w:szCs w:val="28"/>
          <w:lang w:val="en-US" w:eastAsia="zh-CN" w:bidi="ar-SA"/>
        </w:rPr>
        <w:t>（2）现场查看、了解项目实际状况，直接掌握项目运行与管理的第一手数据和信息。</w:t>
      </w:r>
    </w:p>
    <w:p>
      <w:pPr>
        <w:spacing w:line="560" w:lineRule="exact"/>
        <w:ind w:firstLine="480" w:firstLineChars="200"/>
        <w:rPr>
          <w:rFonts w:hint="default" w:ascii="Times New Roman" w:hAnsi="Times New Roman" w:eastAsia="宋体" w:cs="Times New Roman"/>
          <w:kern w:val="2"/>
          <w:sz w:val="24"/>
          <w:szCs w:val="28"/>
          <w:lang w:val="en-US" w:eastAsia="zh-CN" w:bidi="ar-SA"/>
        </w:rPr>
      </w:pPr>
      <w:r>
        <w:rPr>
          <w:rFonts w:hint="default" w:ascii="Times New Roman" w:hAnsi="Times New Roman" w:eastAsia="宋体" w:cs="Times New Roman"/>
          <w:kern w:val="2"/>
          <w:sz w:val="24"/>
          <w:szCs w:val="28"/>
          <w:lang w:val="en-US" w:eastAsia="zh-CN" w:bidi="ar-SA"/>
        </w:rPr>
        <w:t>（3）现场查阅项目档案，了解项目组织、管理情况，验证项目过程、完成情况和效果资料，评估项目实施的真实性、管理的有效性；审阅原始凭证，逐项核实项目资金拨付与资金使用等财务资料，核实项目的资金来源及去向，评估项目财务管理的有效性和会计核算的合规性。</w:t>
      </w:r>
    </w:p>
    <w:p>
      <w:pPr>
        <w:spacing w:line="560" w:lineRule="exact"/>
        <w:ind w:firstLine="480" w:firstLineChars="200"/>
        <w:rPr>
          <w:rFonts w:hint="default" w:ascii="Times New Roman" w:hAnsi="Times New Roman" w:eastAsia="宋体" w:cs="Times New Roman"/>
          <w:kern w:val="2"/>
          <w:sz w:val="24"/>
          <w:szCs w:val="28"/>
          <w:lang w:val="en-US" w:eastAsia="zh-CN" w:bidi="ar-SA"/>
        </w:rPr>
      </w:pPr>
      <w:r>
        <w:rPr>
          <w:rFonts w:hint="default" w:ascii="Times New Roman" w:hAnsi="Times New Roman" w:eastAsia="宋体" w:cs="Times New Roman"/>
          <w:kern w:val="2"/>
          <w:sz w:val="24"/>
          <w:szCs w:val="28"/>
          <w:lang w:val="en-US" w:eastAsia="zh-CN" w:bidi="ar-SA"/>
        </w:rPr>
        <w:t>（4）绩效评价工作组与项目管理和实施人员、财务人员进行面访、座谈，听取项目财政资金分配及支出情况、项目管理状况、目标完成情况、项目实施效果的介绍，并对项目绩效表现和存在的问题进行深入的探讨。</w:t>
      </w:r>
    </w:p>
    <w:p>
      <w:pPr>
        <w:spacing w:line="560" w:lineRule="exact"/>
        <w:ind w:firstLine="480" w:firstLineChars="200"/>
        <w:rPr>
          <w:rFonts w:hint="default" w:ascii="Times New Roman" w:hAnsi="Times New Roman" w:eastAsia="宋体" w:cs="Times New Roman"/>
          <w:kern w:val="2"/>
          <w:sz w:val="24"/>
          <w:szCs w:val="28"/>
          <w:lang w:val="en-US" w:eastAsia="zh-CN" w:bidi="ar-SA"/>
        </w:rPr>
      </w:pPr>
      <w:r>
        <w:rPr>
          <w:rFonts w:hint="default" w:ascii="Times New Roman" w:hAnsi="Times New Roman" w:eastAsia="宋体" w:cs="Times New Roman"/>
          <w:kern w:val="2"/>
          <w:sz w:val="24"/>
          <w:szCs w:val="28"/>
          <w:lang w:val="en-US" w:eastAsia="zh-CN" w:bidi="ar-SA"/>
        </w:rPr>
        <w:t>（5）审核、分析获取的各类评价资料和信息，完成项目评价基础信息表和各类表格的填制；针对关键评价问题，对各评价指标的内在因果、隶属等逻辑关系重新进行整理分类、筛选和优化。</w:t>
      </w:r>
    </w:p>
    <w:p>
      <w:pPr>
        <w:pStyle w:val="12"/>
        <w:keepNext w:val="0"/>
        <w:keepLines w:val="0"/>
        <w:pageBreakBefore w:val="0"/>
        <w:widowControl/>
        <w:kinsoku/>
        <w:wordWrap/>
        <w:overflowPunct/>
        <w:topLinePunct w:val="0"/>
        <w:autoSpaceDE/>
        <w:autoSpaceDN/>
        <w:bidi w:val="0"/>
        <w:adjustRightInd/>
        <w:snapToGrid w:val="0"/>
        <w:ind w:firstLine="560" w:firstLineChars="200"/>
        <w:textAlignment w:val="center"/>
        <w:rPr>
          <w:rFonts w:hint="default" w:ascii="Times New Roman" w:hAnsi="Times New Roman"/>
          <w:lang w:val="en-US" w:eastAsia="zh-CN"/>
        </w:rPr>
      </w:pPr>
      <w:r>
        <w:rPr>
          <w:rFonts w:hint="default" w:ascii="Times New Roman" w:hAnsi="Times New Roman"/>
          <w:lang w:val="en-US" w:eastAsia="zh-CN"/>
        </w:rPr>
        <w:t>分析评价</w:t>
      </w:r>
    </w:p>
    <w:p>
      <w:pPr>
        <w:spacing w:line="560" w:lineRule="exact"/>
        <w:ind w:firstLine="480" w:firstLineChars="200"/>
        <w:rPr>
          <w:rFonts w:hint="default" w:ascii="Times New Roman" w:hAnsi="Times New Roman" w:eastAsia="宋体" w:cs="Times New Roman"/>
          <w:kern w:val="2"/>
          <w:sz w:val="24"/>
          <w:szCs w:val="28"/>
          <w:lang w:val="en-US" w:eastAsia="zh-CN" w:bidi="ar-SA"/>
        </w:rPr>
      </w:pPr>
      <w:r>
        <w:rPr>
          <w:rFonts w:hint="default" w:ascii="Times New Roman" w:hAnsi="Times New Roman" w:eastAsia="宋体" w:cs="Times New Roman"/>
          <w:kern w:val="2"/>
          <w:sz w:val="24"/>
          <w:szCs w:val="28"/>
          <w:lang w:val="en-US" w:eastAsia="zh-CN" w:bidi="ar-SA"/>
        </w:rPr>
        <w:t>（1）进行评价资料审核、分析，确定评价证据。绩效评价工作组结合现场核查所看到的实际情况以及面访、座谈等相关信息，综合分析所收集到的资料，将分析结果与预算标准、指标体系、项目管理制度、财务管理制度等资料进行比对和交叉验证，确定评价的证据。</w:t>
      </w:r>
    </w:p>
    <w:p>
      <w:pPr>
        <w:spacing w:line="560" w:lineRule="exact"/>
        <w:ind w:firstLine="480" w:firstLineChars="200"/>
        <w:rPr>
          <w:rFonts w:hint="default" w:ascii="Times New Roman" w:hAnsi="Times New Roman" w:eastAsia="宋体" w:cs="Times New Roman"/>
          <w:kern w:val="2"/>
          <w:sz w:val="24"/>
          <w:szCs w:val="28"/>
          <w:lang w:val="en-US" w:eastAsia="zh-CN" w:bidi="ar-SA"/>
        </w:rPr>
      </w:pPr>
      <w:r>
        <w:rPr>
          <w:rFonts w:hint="default" w:ascii="Times New Roman" w:hAnsi="Times New Roman" w:eastAsia="宋体" w:cs="Times New Roman"/>
          <w:kern w:val="2"/>
          <w:sz w:val="24"/>
          <w:szCs w:val="28"/>
          <w:lang w:val="en-US" w:eastAsia="zh-CN" w:bidi="ar-SA"/>
        </w:rPr>
        <w:t>（2）整理、加工和计算，确认项目绩效指标完成情况。在绩效评价指标体系框架内，对收集到的资料及数据进行加工，计算各种评价指标值，初步确定项目绩效评价指标完成情况。</w:t>
      </w:r>
    </w:p>
    <w:p>
      <w:pPr>
        <w:spacing w:line="560" w:lineRule="exact"/>
        <w:ind w:firstLine="480" w:firstLineChars="200"/>
        <w:rPr>
          <w:rFonts w:hint="default" w:ascii="Times New Roman" w:hAnsi="Times New Roman" w:eastAsia="宋体" w:cs="Times New Roman"/>
          <w:kern w:val="2"/>
          <w:sz w:val="24"/>
          <w:szCs w:val="28"/>
          <w:lang w:val="en-US" w:eastAsia="zh-CN" w:bidi="ar-SA"/>
        </w:rPr>
      </w:pPr>
      <w:r>
        <w:rPr>
          <w:rFonts w:hint="default" w:ascii="Times New Roman" w:hAnsi="Times New Roman" w:eastAsia="宋体" w:cs="Times New Roman"/>
          <w:kern w:val="2"/>
          <w:sz w:val="24"/>
          <w:szCs w:val="28"/>
          <w:lang w:val="en-US" w:eastAsia="zh-CN" w:bidi="ar-SA"/>
        </w:rPr>
        <w:t>（3）对照评分，得出评分结果和评价结论。采用目标对比分析法，通过比较绩效指标的实际完成情况与绩效目标数据、评价指标基准值的相符程度，按照评分标准对每一项指标评议打分，得出评分结果和评价结论。汇总评价中发现的问题，提出相应处理建议或意见。</w:t>
      </w:r>
    </w:p>
    <w:p>
      <w:pPr>
        <w:pStyle w:val="10"/>
        <w:keepNext w:val="0"/>
        <w:keepLines w:val="0"/>
        <w:pageBreakBefore w:val="0"/>
        <w:widowControl/>
        <w:kinsoku/>
        <w:wordWrap/>
        <w:overflowPunct/>
        <w:topLinePunct w:val="0"/>
        <w:autoSpaceDE/>
        <w:autoSpaceDN/>
        <w:bidi w:val="0"/>
        <w:adjustRightInd/>
        <w:snapToGrid w:val="0"/>
        <w:ind w:firstLine="560" w:firstLineChars="200"/>
        <w:textAlignment w:val="center"/>
      </w:pPr>
      <w:r>
        <w:rPr>
          <w:rFonts w:hint="eastAsia"/>
        </w:rPr>
        <w:t>绩效评价指标体系</w:t>
      </w:r>
    </w:p>
    <w:p>
      <w:pPr>
        <w:pStyle w:val="16"/>
      </w:pPr>
      <w:r>
        <w:rPr>
          <w:rFonts w:hint="eastAsia"/>
        </w:rPr>
        <w:t>本次评价指标体系从投入（</w:t>
      </w:r>
      <w:r>
        <w:t>项目立项</w:t>
      </w:r>
      <w:r>
        <w:rPr>
          <w:rFonts w:hint="eastAsia"/>
        </w:rPr>
        <w:t>、</w:t>
      </w:r>
      <w:r>
        <w:t>资金落实</w:t>
      </w:r>
      <w:r>
        <w:rPr>
          <w:rFonts w:hint="eastAsia"/>
        </w:rPr>
        <w:t>）、过程（业务管理、财务管理）、成本（经济成本、社会</w:t>
      </w:r>
      <w:r>
        <w:t>成本</w:t>
      </w:r>
      <w:r>
        <w:rPr>
          <w:rFonts w:hint="eastAsia"/>
        </w:rPr>
        <w:t>、生态环境），产出（数量、质量、时效）、效益（经济效益、效益指标、生态效益、服务对象满意度）五个方面采用计划标准设定，涵盖了项目财政资金使用全过程。根据绩效评价原则及资金特征，设定了定性指标与定量指标，通过分析评分的方式全面评价资金投入、过程管理、成本、产出、效益。</w:t>
      </w:r>
    </w:p>
    <w:p>
      <w:pPr>
        <w:pStyle w:val="16"/>
        <w:rPr>
          <w:rFonts w:hint="eastAsia"/>
        </w:rPr>
      </w:pPr>
      <w:r>
        <w:rPr>
          <w:rFonts w:hint="eastAsia"/>
        </w:rPr>
        <w:t>本次绩效评价共设置</w:t>
      </w:r>
      <w:r>
        <w:t>5项一级指标、14项二级指标、23项三级指标，形成</w:t>
      </w:r>
      <w:r>
        <w:rPr>
          <w:rFonts w:hint="eastAsia"/>
        </w:rPr>
        <w:t>了“</w:t>
      </w:r>
      <w:r>
        <w:t>2023年度</w:t>
      </w:r>
      <w:r>
        <w:rPr>
          <w:rFonts w:hint="eastAsia"/>
        </w:rPr>
        <w:t>嘉鱼县发展和改革局</w:t>
      </w:r>
      <w:r>
        <w:t>粮食流通产业发展资金</w:t>
      </w:r>
      <w:r>
        <w:rPr>
          <w:rFonts w:hint="eastAsia"/>
        </w:rPr>
        <w:t>绩效评价体系”</w:t>
      </w:r>
      <w:r>
        <w:t>，并分析绩效目标完成情况及由此展开的经济效益和社会效益等，在此基础上提出有针对性的建议，提高财政资金的使用效率，为以后</w:t>
      </w:r>
      <w:r>
        <w:rPr>
          <w:rFonts w:hint="eastAsia"/>
        </w:rPr>
        <w:t>项目</w:t>
      </w:r>
      <w:r>
        <w:t>支出的可持续性影响等提供较为科学的判断与建议。本次绩效评价体系评价等次分为（优（S≥90）、良（90＞S≥80）、合格（80＞S≥60）、不合格（S＜60）。</w:t>
      </w:r>
    </w:p>
    <w:p>
      <w:pPr>
        <w:pStyle w:val="7"/>
        <w:keepNext w:val="0"/>
        <w:keepLines w:val="0"/>
        <w:pageBreakBefore w:val="0"/>
        <w:widowControl/>
        <w:kinsoku/>
        <w:wordWrap/>
        <w:overflowPunct/>
        <w:topLinePunct w:val="0"/>
        <w:autoSpaceDE/>
        <w:autoSpaceDN/>
        <w:bidi w:val="0"/>
        <w:adjustRightInd/>
        <w:snapToGrid w:val="0"/>
        <w:ind w:firstLine="560" w:firstLineChars="200"/>
        <w:textAlignment w:val="center"/>
      </w:pPr>
      <w:r>
        <w:t>绩效评价分析</w:t>
      </w:r>
      <w:r>
        <w:rPr>
          <w:rFonts w:hint="eastAsia"/>
        </w:rPr>
        <w:t>及综合评价结论</w:t>
      </w:r>
    </w:p>
    <w:p>
      <w:pPr>
        <w:pStyle w:val="16"/>
      </w:pPr>
      <w:r>
        <w:rPr>
          <w:rFonts w:hint="eastAsia"/>
        </w:rPr>
        <w:t>根据指标体系，评审组经过评审，县发改局</w:t>
      </w:r>
      <w:r>
        <w:t>粮食流通产业发展资金</w:t>
      </w:r>
      <w:r>
        <w:rPr>
          <w:rFonts w:hint="eastAsia"/>
          <w:lang w:val="en-US" w:eastAsia="zh-CN"/>
        </w:rPr>
        <w:t>项目</w:t>
      </w:r>
      <w:r>
        <w:rPr>
          <w:rFonts w:hint="eastAsia"/>
        </w:rPr>
        <w:t>绩效评价</w:t>
      </w:r>
      <w:r>
        <w:t>综合得分98元分，综合绩效评定结论</w:t>
      </w:r>
      <w:r>
        <w:rPr>
          <w:rFonts w:hint="eastAsia"/>
        </w:rPr>
        <w:t>为“优”</w:t>
      </w:r>
      <w:r>
        <w:t>。</w:t>
      </w:r>
    </w:p>
    <w:p>
      <w:pPr>
        <w:pStyle w:val="10"/>
        <w:keepNext w:val="0"/>
        <w:keepLines w:val="0"/>
        <w:pageBreakBefore w:val="0"/>
        <w:widowControl/>
        <w:kinsoku/>
        <w:wordWrap/>
        <w:overflowPunct/>
        <w:topLinePunct w:val="0"/>
        <w:autoSpaceDE/>
        <w:autoSpaceDN/>
        <w:bidi w:val="0"/>
        <w:adjustRightInd/>
        <w:snapToGrid w:val="0"/>
        <w:ind w:firstLine="560" w:firstLineChars="200"/>
        <w:textAlignment w:val="center"/>
      </w:pPr>
      <w:r>
        <w:rPr>
          <w:rFonts w:hint="eastAsia"/>
        </w:rPr>
        <w:t>投入</w:t>
      </w:r>
    </w:p>
    <w:p>
      <w:pPr>
        <w:pStyle w:val="16"/>
        <w:rPr>
          <w:rFonts w:hint="eastAsia"/>
        </w:rPr>
      </w:pPr>
      <w:r>
        <w:rPr>
          <w:rFonts w:hint="eastAsia"/>
        </w:rPr>
        <w:t>投入指标，该指标设置总分值</w:t>
      </w:r>
      <w:r>
        <w:fldChar w:fldCharType="begin"/>
      </w:r>
      <w:r>
        <w:instrText xml:space="preserve"> DOCVARIABLE "C:|Users|May|Desktop|嘉鱼发改局项目自评.xlsx||报告用表|_jds1||&amp;|分|2|D7" \* MERGEFORMAT </w:instrText>
      </w:r>
      <w:r>
        <w:fldChar w:fldCharType="separate"/>
      </w:r>
      <w:r>
        <w:rPr>
          <w:rFonts w:hint="eastAsia"/>
        </w:rPr>
        <w:t>18分</w:t>
      </w:r>
      <w:r>
        <w:fldChar w:fldCharType="end"/>
      </w:r>
      <w:r>
        <w:t>，评价得分</w:t>
      </w:r>
      <w:r>
        <w:fldChar w:fldCharType="begin"/>
      </w:r>
      <w:r>
        <w:instrText xml:space="preserve"> DOCVARIABLE "C:|Users|May|Desktop|嘉鱼发改局项目自评.xlsx||报告用表|_jds2||&amp;|分|2|E7" \* MERGEFORMAT </w:instrText>
      </w:r>
      <w:r>
        <w:fldChar w:fldCharType="separate"/>
      </w:r>
      <w:r>
        <w:rPr>
          <w:rFonts w:hint="eastAsia"/>
          <w:bCs/>
        </w:rPr>
        <w:t>16分</w:t>
      </w:r>
      <w:r>
        <w:fldChar w:fldCharType="end"/>
      </w:r>
      <w:r>
        <w:t>。</w:t>
      </w:r>
    </w:p>
    <w:p>
      <w:pPr>
        <w:pStyle w:val="16"/>
        <w:widowControl w:val="0"/>
        <w:rPr>
          <w:rFonts w:hint="eastAsia"/>
        </w:rPr>
      </w:pPr>
      <w:r>
        <w:rPr>
          <w:rFonts w:hint="eastAsia"/>
        </w:rPr>
        <w:t>在项目立项方面设置分值</w:t>
      </w:r>
      <w:r>
        <w:fldChar w:fldCharType="begin"/>
      </w:r>
      <w:r>
        <w:instrText xml:space="preserve"> DOCVARIABLE "C:|Users|May|Desktop|嘉鱼发改局项目自评.xlsx||报告用表|_jds3||&amp;|分|2|H4" \* MERGEFORMAT </w:instrText>
      </w:r>
      <w:r>
        <w:fldChar w:fldCharType="separate"/>
      </w:r>
      <w:r>
        <w:rPr>
          <w:rFonts w:hint="eastAsia"/>
          <w:bCs/>
        </w:rPr>
        <w:t>12分</w:t>
      </w:r>
      <w:r>
        <w:fldChar w:fldCharType="end"/>
      </w:r>
      <w:r>
        <w:t>，评价得分</w:t>
      </w:r>
      <w:r>
        <w:fldChar w:fldCharType="begin"/>
      </w:r>
      <w:r>
        <w:instrText xml:space="preserve"> DOCVARIABLE "C:|Users|May|Desktop|嘉鱼发改局项目自评.xlsx||报告用表|_jds4||&amp;|分|2|I4" \* MERGEFORMAT </w:instrText>
      </w:r>
      <w:r>
        <w:fldChar w:fldCharType="separate"/>
      </w:r>
      <w:r>
        <w:rPr>
          <w:rFonts w:hint="eastAsia"/>
          <w:bCs/>
        </w:rPr>
        <w:t>10分</w:t>
      </w:r>
      <w:r>
        <w:fldChar w:fldCharType="end"/>
      </w:r>
      <w:r>
        <w:rPr>
          <w:rFonts w:hint="eastAsia"/>
        </w:rPr>
        <w:t>，扣分</w:t>
      </w:r>
      <w:r>
        <w:fldChar w:fldCharType="begin"/>
      </w:r>
      <w:r>
        <w:instrText xml:space="preserve"> </w:instrText>
      </w:r>
      <w:r>
        <w:rPr>
          <w:rFonts w:hint="eastAsia"/>
        </w:rPr>
        <w:instrText xml:space="preserve">DOCVARIABLE "C:|Users|May|Desktop|嘉鱼发改局项目自评.xlsx||报告用表|_jds7||&amp;|分|2|J4" \* MERGEFORMAT</w:instrText>
      </w:r>
      <w:r>
        <w:instrText xml:space="preserve"> </w:instrText>
      </w:r>
      <w:r>
        <w:fldChar w:fldCharType="separate"/>
      </w:r>
      <w:r>
        <w:rPr>
          <w:rFonts w:hint="eastAsia"/>
          <w:bCs/>
        </w:rPr>
        <w:t>2分</w:t>
      </w:r>
      <w:r>
        <w:fldChar w:fldCharType="end"/>
      </w:r>
      <w:r>
        <w:rPr>
          <w:rFonts w:hint="eastAsia"/>
        </w:rPr>
        <w:t>，主要原因是：设定的绩效目标</w:t>
      </w:r>
      <w:r>
        <w:t>可衡量方面略有欠缺</w:t>
      </w:r>
      <w:r>
        <w:rPr>
          <w:rFonts w:hint="eastAsia"/>
        </w:rPr>
        <w:t>，绩效成本指标</w:t>
      </w:r>
      <w:r>
        <w:t>不够</w:t>
      </w:r>
      <w:r>
        <w:rPr>
          <w:rFonts w:hint="eastAsia"/>
        </w:rPr>
        <w:t>明确</w:t>
      </w:r>
      <w:r>
        <w:t>。县发改局</w:t>
      </w:r>
      <w:r>
        <w:rPr>
          <w:rFonts w:hint="eastAsia"/>
        </w:rPr>
        <w:t>项目立项严格按照既定的法规和程序进行，包括明确的项目背景、目标、可行性研究和审批流程，以确保项目的合法性和合理性。设定的绩效目标明确具体，并且能够在项目实施过程中引导和激励项目团队高效地达成预期成果</w:t>
      </w:r>
      <w:r>
        <w:t>，但可衡量方面略有欠缺。</w:t>
      </w:r>
      <w:r>
        <w:rPr>
          <w:rFonts w:hint="eastAsia"/>
        </w:rPr>
        <w:t>绩效成本指标</w:t>
      </w:r>
      <w:r>
        <w:t>不够</w:t>
      </w:r>
      <w:r>
        <w:rPr>
          <w:rFonts w:hint="eastAsia"/>
        </w:rPr>
        <w:t>明确，</w:t>
      </w:r>
      <w:r>
        <w:t>对于</w:t>
      </w:r>
      <w:r>
        <w:rPr>
          <w:rFonts w:hint="eastAsia"/>
        </w:rPr>
        <w:t>衡量项目进展和成果有一定影响。</w:t>
      </w:r>
    </w:p>
    <w:p>
      <w:pPr>
        <w:pStyle w:val="16"/>
        <w:widowControl w:val="0"/>
      </w:pPr>
      <w:r>
        <w:rPr>
          <w:rFonts w:hint="eastAsia"/>
        </w:rPr>
        <w:t>在资金落实方面设置分值</w:t>
      </w:r>
      <w:r>
        <w:fldChar w:fldCharType="begin"/>
      </w:r>
      <w:r>
        <w:instrText xml:space="preserve"> DOCVARIABLE "C:|Users|May|Desktop|嘉鱼发改局项目自评.xlsx||报告用表|_jds5||&amp;|分|2|H6" \* MERGEFORMAT </w:instrText>
      </w:r>
      <w:r>
        <w:fldChar w:fldCharType="separate"/>
      </w:r>
      <w:r>
        <w:rPr>
          <w:rFonts w:hint="eastAsia"/>
          <w:bCs/>
        </w:rPr>
        <w:t>6分</w:t>
      </w:r>
      <w:r>
        <w:fldChar w:fldCharType="end"/>
      </w:r>
      <w:r>
        <w:t>，评价得分</w:t>
      </w:r>
      <w:r>
        <w:fldChar w:fldCharType="begin"/>
      </w:r>
      <w:r>
        <w:instrText xml:space="preserve"> DOCVARIABLE "C:|Users|May|Desktop|嘉鱼发改局项目自评.xlsx||报告用表|_jds6||&amp;|分|2|I6" \* MERGEFORMAT </w:instrText>
      </w:r>
      <w:r>
        <w:fldChar w:fldCharType="separate"/>
      </w:r>
      <w:r>
        <w:rPr>
          <w:rFonts w:hint="eastAsia"/>
          <w:bCs/>
        </w:rPr>
        <w:t>6分</w:t>
      </w:r>
      <w:r>
        <w:fldChar w:fldCharType="end"/>
      </w:r>
      <w:r>
        <w:t>。</w:t>
      </w:r>
      <w:r>
        <w:rPr>
          <w:rFonts w:hint="eastAsia"/>
        </w:rPr>
        <w:t>资金到位率1</w:t>
      </w:r>
      <w:r>
        <w:t>00%</w:t>
      </w:r>
      <w:r>
        <w:rPr>
          <w:rFonts w:hint="eastAsia"/>
        </w:rPr>
        <w:t>，项目资金按时足额到位，支持项目顺利推进；到位及时率1</w:t>
      </w:r>
      <w:r>
        <w:t>00%</w:t>
      </w:r>
      <w:r>
        <w:rPr>
          <w:rFonts w:hint="eastAsia"/>
        </w:rPr>
        <w:t>，项目在需要时能够及时获取所需资金，保证项目顺利进行。该项指标具体评分结果如下：</w:t>
      </w:r>
    </w:p>
    <w:tbl>
      <w:tblPr>
        <w:tblStyle w:val="5"/>
        <w:tblW w:w="5000" w:type="pct"/>
        <w:tblCaption w:val="C:\Users\May\Desktop|嘉鱼发改局项目自评.xlsx|报告用表|_jds13|0|desc|||0|1"/>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Layout w:type="autofit"/>
        <w:tblCellMar>
          <w:top w:w="0" w:type="dxa"/>
          <w:left w:w="108" w:type="dxa"/>
          <w:bottom w:w="0" w:type="dxa"/>
          <w:right w:w="108" w:type="dxa"/>
        </w:tblCellMar>
      </w:tblPr>
      <w:tblGrid>
        <w:gridCol w:w="1999"/>
        <w:gridCol w:w="1191"/>
        <w:gridCol w:w="1806"/>
        <w:gridCol w:w="1820"/>
        <w:gridCol w:w="856"/>
        <w:gridCol w:w="85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CellMar>
            <w:top w:w="0" w:type="dxa"/>
            <w:left w:w="108" w:type="dxa"/>
            <w:bottom w:w="0" w:type="dxa"/>
            <w:right w:w="108" w:type="dxa"/>
          </w:tblCellMar>
        </w:tblPrEx>
        <w:trPr>
          <w:trHeight w:val="397" w:hRule="atLeast"/>
          <w:tblHeader/>
        </w:trPr>
        <w:tc>
          <w:tcPr>
            <w:tcW w:w="1172" w:type="pct"/>
            <w:tcBorders>
              <w:top w:val="single" w:color="000000" w:sz="12" w:space="0"/>
              <w:bottom w:val="single" w:color="000000" w:sz="4" w:space="0"/>
            </w:tcBorders>
            <w:shd w:val="solid" w:color="FFFFFF" w:fill="FFFFFF"/>
            <w:noWrap/>
            <w:vAlign w:val="center"/>
          </w:tcPr>
          <w:p>
            <w:pPr>
              <w:widowControl/>
              <w:jc w:val="left"/>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一级指标</w:t>
            </w:r>
            <w:r>
              <w:rPr>
                <w:rFonts w:ascii="Times New Roman" w:hAnsi="Times New Roman" w:eastAsia="宋体" w:cs="Times New Roman"/>
                <w:color w:val="000000"/>
                <w:szCs w:val="21"/>
              </w:rPr>
              <w:t xml:space="preserve"> </w:t>
            </w:r>
          </w:p>
        </w:tc>
        <w:tc>
          <w:tcPr>
            <w:tcW w:w="698" w:type="pct"/>
            <w:tcBorders>
              <w:top w:val="single" w:color="000000" w:sz="12" w:space="0"/>
              <w:bottom w:val="single" w:color="000000" w:sz="4" w:space="0"/>
            </w:tcBorders>
            <w:shd w:val="solid" w:color="FFFFFF" w:fill="FFFFFF"/>
            <w:noWrap/>
            <w:vAlign w:val="center"/>
          </w:tcPr>
          <w:p>
            <w:pPr>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 </w:t>
            </w:r>
            <w:r>
              <w:rPr>
                <w:rFonts w:hint="eastAsia" w:ascii="Times New Roman" w:hAnsi="Times New Roman" w:eastAsia="宋体" w:cs="Times New Roman"/>
                <w:color w:val="000000"/>
                <w:szCs w:val="21"/>
              </w:rPr>
              <w:t>二级指标</w:t>
            </w:r>
            <w:r>
              <w:rPr>
                <w:rFonts w:ascii="Times New Roman" w:hAnsi="Times New Roman" w:eastAsia="宋体" w:cs="Times New Roman"/>
                <w:color w:val="000000"/>
                <w:szCs w:val="21"/>
              </w:rPr>
              <w:t xml:space="preserve"> </w:t>
            </w:r>
          </w:p>
        </w:tc>
        <w:tc>
          <w:tcPr>
            <w:tcW w:w="1059" w:type="pct"/>
            <w:tcBorders>
              <w:top w:val="single" w:color="000000" w:sz="12" w:space="0"/>
              <w:bottom w:val="single" w:color="000000" w:sz="4" w:space="0"/>
            </w:tcBorders>
            <w:shd w:val="solid" w:color="FFFFFF" w:fill="FFFFFF"/>
            <w:noWrap/>
            <w:vAlign w:val="center"/>
          </w:tcPr>
          <w:p>
            <w:pPr>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 </w:t>
            </w:r>
            <w:r>
              <w:rPr>
                <w:rFonts w:hint="eastAsia" w:ascii="Times New Roman" w:hAnsi="Times New Roman" w:eastAsia="宋体" w:cs="Times New Roman"/>
                <w:color w:val="000000"/>
                <w:szCs w:val="21"/>
              </w:rPr>
              <w:t>三级指标</w:t>
            </w:r>
            <w:r>
              <w:rPr>
                <w:rFonts w:ascii="Times New Roman" w:hAnsi="Times New Roman" w:eastAsia="宋体" w:cs="Times New Roman"/>
                <w:color w:val="000000"/>
                <w:szCs w:val="21"/>
              </w:rPr>
              <w:t xml:space="preserve"> </w:t>
            </w:r>
          </w:p>
        </w:tc>
        <w:tc>
          <w:tcPr>
            <w:tcW w:w="1067" w:type="pct"/>
            <w:tcBorders>
              <w:top w:val="single" w:color="000000" w:sz="12" w:space="0"/>
              <w:bottom w:val="single" w:color="000000" w:sz="4" w:space="0"/>
            </w:tcBorders>
            <w:shd w:val="solid" w:color="FFFFFF" w:fill="FFFFFF"/>
            <w:noWrap/>
            <w:vAlign w:val="center"/>
          </w:tcPr>
          <w:p>
            <w:pPr>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 </w:t>
            </w:r>
            <w:r>
              <w:rPr>
                <w:rFonts w:hint="eastAsia" w:ascii="Times New Roman" w:hAnsi="Times New Roman" w:eastAsia="宋体" w:cs="Times New Roman"/>
                <w:color w:val="000000"/>
                <w:szCs w:val="21"/>
              </w:rPr>
              <w:t>分值</w:t>
            </w:r>
          </w:p>
        </w:tc>
        <w:tc>
          <w:tcPr>
            <w:tcW w:w="502" w:type="pct"/>
            <w:tcBorders>
              <w:top w:val="single" w:color="000000" w:sz="12" w:space="0"/>
              <w:bottom w:val="single" w:color="000000" w:sz="4" w:space="0"/>
            </w:tcBorders>
            <w:shd w:val="solid" w:color="FFFFFF" w:fill="FFFFFF"/>
            <w:noWrap/>
            <w:vAlign w:val="center"/>
          </w:tcPr>
          <w:p>
            <w:pPr>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 </w:t>
            </w:r>
            <w:r>
              <w:rPr>
                <w:rFonts w:hint="eastAsia" w:ascii="Times New Roman" w:hAnsi="Times New Roman" w:eastAsia="宋体" w:cs="Times New Roman"/>
                <w:color w:val="000000"/>
                <w:szCs w:val="21"/>
              </w:rPr>
              <w:t>得分</w:t>
            </w:r>
          </w:p>
        </w:tc>
        <w:tc>
          <w:tcPr>
            <w:tcW w:w="502" w:type="pct"/>
            <w:tcBorders>
              <w:top w:val="single" w:color="000000" w:sz="12" w:space="0"/>
              <w:bottom w:val="single" w:color="000000" w:sz="4" w:space="0"/>
            </w:tcBorders>
            <w:shd w:val="solid" w:color="FFFFFF" w:fill="FFFFFF"/>
            <w:noWrap/>
            <w:vAlign w:val="center"/>
          </w:tcPr>
          <w:p>
            <w:pPr>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 </w:t>
            </w:r>
            <w:r>
              <w:rPr>
                <w:rFonts w:hint="eastAsia" w:ascii="Times New Roman" w:hAnsi="Times New Roman" w:eastAsia="宋体" w:cs="Times New Roman"/>
                <w:color w:val="000000"/>
                <w:szCs w:val="21"/>
              </w:rPr>
              <w:t>扣分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CellMar>
            <w:top w:w="0" w:type="dxa"/>
            <w:left w:w="108" w:type="dxa"/>
            <w:bottom w:w="0" w:type="dxa"/>
            <w:right w:w="108" w:type="dxa"/>
          </w:tblCellMar>
        </w:tblPrEx>
        <w:trPr>
          <w:trHeight w:val="397" w:hRule="atLeast"/>
        </w:trPr>
        <w:tc>
          <w:tcPr>
            <w:tcW w:w="1172" w:type="pct"/>
            <w:vMerge w:val="restart"/>
            <w:tcBorders>
              <w:top w:val="single" w:color="000000" w:sz="4" w:space="0"/>
            </w:tcBorders>
            <w:shd w:val="solid" w:color="FFFFFF" w:fill="FFFFFF"/>
            <w:noWrap/>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投入指标（18分）</w:t>
            </w:r>
          </w:p>
        </w:tc>
        <w:tc>
          <w:tcPr>
            <w:tcW w:w="698" w:type="pct"/>
            <w:vMerge w:val="restart"/>
            <w:tcBorders>
              <w:top w:val="single" w:color="000000" w:sz="4" w:space="0"/>
            </w:tcBorders>
            <w:shd w:val="solid" w:color="FFFFFF" w:fill="FFFFFF"/>
            <w:noWrap/>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项目立项</w:t>
            </w:r>
            <w:r>
              <w:rPr>
                <w:rFonts w:ascii="Times New Roman" w:hAnsi="Times New Roman" w:eastAsia="宋体" w:cs="Times New Roman"/>
                <w:color w:val="000000"/>
              </w:rPr>
              <w:br w:type="textWrapping"/>
            </w:r>
            <w:r>
              <w:rPr>
                <w:rFonts w:ascii="Times New Roman" w:hAnsi="Times New Roman" w:eastAsia="宋体" w:cs="Times New Roman"/>
                <w:color w:val="000000"/>
              </w:rPr>
              <w:t>（12分）</w:t>
            </w:r>
          </w:p>
        </w:tc>
        <w:tc>
          <w:tcPr>
            <w:tcW w:w="1059" w:type="pct"/>
            <w:tcBorders>
              <w:top w:val="single" w:color="000000" w:sz="4" w:space="0"/>
            </w:tcBorders>
            <w:shd w:val="solid" w:color="FFFFFF" w:fill="FFFFFF"/>
            <w:noWrap/>
            <w:vAlign w:val="center"/>
          </w:tcPr>
          <w:p>
            <w:pPr>
              <w:jc w:val="left"/>
              <w:rPr>
                <w:rFonts w:ascii="Times New Roman" w:hAnsi="Times New Roman" w:eastAsia="宋体" w:cs="Times New Roman"/>
                <w:color w:val="000000"/>
              </w:rPr>
            </w:pPr>
            <w:r>
              <w:rPr>
                <w:rFonts w:ascii="Times New Roman" w:hAnsi="Times New Roman" w:eastAsia="宋体" w:cs="Times New Roman"/>
                <w:color w:val="000000"/>
              </w:rPr>
              <w:t>项目立项规划</w:t>
            </w:r>
          </w:p>
        </w:tc>
        <w:tc>
          <w:tcPr>
            <w:tcW w:w="1067" w:type="pct"/>
            <w:tcBorders>
              <w:top w:val="single" w:color="000000" w:sz="4" w:space="0"/>
            </w:tcBorders>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4.00</w:t>
            </w:r>
          </w:p>
        </w:tc>
        <w:tc>
          <w:tcPr>
            <w:tcW w:w="502" w:type="pct"/>
            <w:tcBorders>
              <w:top w:val="single" w:color="000000" w:sz="4" w:space="0"/>
            </w:tcBorders>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4.00</w:t>
            </w:r>
          </w:p>
        </w:tc>
        <w:tc>
          <w:tcPr>
            <w:tcW w:w="502" w:type="pct"/>
            <w:tcBorders>
              <w:top w:val="single" w:color="000000" w:sz="4" w:space="0"/>
            </w:tcBorders>
            <w:shd w:val="solid" w:color="FFFFFF" w:fill="FFFFFF"/>
            <w:noWrap/>
            <w:vAlign w:val="center"/>
          </w:tcPr>
          <w:p>
            <w:pPr>
              <w:jc w:val="right"/>
              <w:rPr>
                <w:rFonts w:ascii="Times New Roman" w:hAnsi="Times New Roman" w:eastAsia="宋体" w:cs="Times New Roman"/>
                <w:color w:val="000000"/>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72" w:type="pct"/>
            <w:vMerge w:val="continue"/>
            <w:shd w:val="solid" w:color="FFFFFF" w:fill="FFFFFF"/>
            <w:vAlign w:val="center"/>
          </w:tcPr>
          <w:p>
            <w:pPr>
              <w:rPr>
                <w:rFonts w:ascii="Times New Roman" w:hAnsi="Times New Roman" w:eastAsia="宋体" w:cs="Times New Roman"/>
                <w:color w:val="000000"/>
              </w:rPr>
            </w:pPr>
          </w:p>
        </w:tc>
        <w:tc>
          <w:tcPr>
            <w:tcW w:w="698" w:type="pct"/>
            <w:vMerge w:val="continue"/>
            <w:shd w:val="solid" w:color="FFFFFF" w:fill="FFFFFF"/>
            <w:vAlign w:val="center"/>
          </w:tcPr>
          <w:p>
            <w:pPr>
              <w:rPr>
                <w:rFonts w:ascii="Times New Roman" w:hAnsi="Times New Roman" w:eastAsia="宋体" w:cs="Times New Roman"/>
                <w:color w:val="000000"/>
              </w:rPr>
            </w:pPr>
          </w:p>
        </w:tc>
        <w:tc>
          <w:tcPr>
            <w:tcW w:w="1059" w:type="pct"/>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绩效目标合理</w:t>
            </w:r>
          </w:p>
        </w:tc>
        <w:tc>
          <w:tcPr>
            <w:tcW w:w="1067" w:type="pct"/>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4.00</w:t>
            </w:r>
          </w:p>
        </w:tc>
        <w:tc>
          <w:tcPr>
            <w:tcW w:w="502" w:type="pct"/>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3.00</w:t>
            </w:r>
          </w:p>
        </w:tc>
        <w:tc>
          <w:tcPr>
            <w:tcW w:w="502" w:type="pct"/>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1.00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72" w:type="pct"/>
            <w:vMerge w:val="continue"/>
            <w:shd w:val="solid" w:color="FFFFFF" w:fill="FFFFFF"/>
            <w:vAlign w:val="center"/>
          </w:tcPr>
          <w:p>
            <w:pPr>
              <w:rPr>
                <w:rFonts w:ascii="Times New Roman" w:hAnsi="Times New Roman" w:eastAsia="宋体" w:cs="Times New Roman"/>
                <w:color w:val="000000"/>
              </w:rPr>
            </w:pPr>
          </w:p>
        </w:tc>
        <w:tc>
          <w:tcPr>
            <w:tcW w:w="698" w:type="pct"/>
            <w:vMerge w:val="continue"/>
            <w:shd w:val="solid" w:color="FFFFFF" w:fill="FFFFFF"/>
            <w:vAlign w:val="center"/>
          </w:tcPr>
          <w:p>
            <w:pPr>
              <w:rPr>
                <w:rFonts w:ascii="Times New Roman" w:hAnsi="Times New Roman" w:eastAsia="宋体" w:cs="Times New Roman"/>
                <w:color w:val="000000"/>
              </w:rPr>
            </w:pPr>
          </w:p>
        </w:tc>
        <w:tc>
          <w:tcPr>
            <w:tcW w:w="1059" w:type="pct"/>
            <w:shd w:val="solid" w:color="FFFFFF" w:fill="FFFFFF"/>
            <w:noWrap/>
            <w:vAlign w:val="center"/>
          </w:tcPr>
          <w:p>
            <w:pPr>
              <w:jc w:val="left"/>
              <w:rPr>
                <w:rFonts w:ascii="Times New Roman" w:hAnsi="Times New Roman" w:eastAsia="宋体" w:cs="Times New Roman"/>
                <w:color w:val="000000"/>
              </w:rPr>
            </w:pPr>
            <w:r>
              <w:rPr>
                <w:rFonts w:ascii="Times New Roman" w:hAnsi="Times New Roman" w:eastAsia="宋体" w:cs="Times New Roman"/>
                <w:color w:val="000000"/>
              </w:rPr>
              <w:t>绩效指标明确</w:t>
            </w:r>
          </w:p>
        </w:tc>
        <w:tc>
          <w:tcPr>
            <w:tcW w:w="1067" w:type="pct"/>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4.00</w:t>
            </w:r>
          </w:p>
        </w:tc>
        <w:tc>
          <w:tcPr>
            <w:tcW w:w="502" w:type="pct"/>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3.00</w:t>
            </w:r>
          </w:p>
        </w:tc>
        <w:tc>
          <w:tcPr>
            <w:tcW w:w="502" w:type="pct"/>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1.00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CellMar>
            <w:top w:w="0" w:type="dxa"/>
            <w:left w:w="108" w:type="dxa"/>
            <w:bottom w:w="0" w:type="dxa"/>
            <w:right w:w="108" w:type="dxa"/>
          </w:tblCellMar>
        </w:tblPrEx>
        <w:trPr>
          <w:trHeight w:val="397" w:hRule="atLeast"/>
        </w:trPr>
        <w:tc>
          <w:tcPr>
            <w:tcW w:w="1172" w:type="pct"/>
            <w:vMerge w:val="continue"/>
            <w:shd w:val="solid" w:color="FFFFFF" w:fill="FFFFFF"/>
            <w:vAlign w:val="center"/>
          </w:tcPr>
          <w:p>
            <w:pPr>
              <w:rPr>
                <w:rFonts w:ascii="Times New Roman" w:hAnsi="Times New Roman" w:eastAsia="宋体" w:cs="Times New Roman"/>
                <w:color w:val="000000"/>
              </w:rPr>
            </w:pPr>
          </w:p>
        </w:tc>
        <w:tc>
          <w:tcPr>
            <w:tcW w:w="698" w:type="pct"/>
            <w:vMerge w:val="restart"/>
            <w:shd w:val="solid" w:color="FFFFFF" w:fill="FFFFFF"/>
            <w:noWrap/>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资金落实</w:t>
            </w:r>
            <w:r>
              <w:rPr>
                <w:rFonts w:ascii="Times New Roman" w:hAnsi="Times New Roman" w:eastAsia="宋体" w:cs="Times New Roman"/>
                <w:color w:val="000000"/>
              </w:rPr>
              <w:br w:type="textWrapping"/>
            </w:r>
            <w:r>
              <w:rPr>
                <w:rFonts w:ascii="Times New Roman" w:hAnsi="Times New Roman" w:eastAsia="宋体" w:cs="Times New Roman"/>
                <w:color w:val="000000"/>
              </w:rPr>
              <w:t>（6分）</w:t>
            </w:r>
          </w:p>
        </w:tc>
        <w:tc>
          <w:tcPr>
            <w:tcW w:w="1059" w:type="pct"/>
            <w:shd w:val="solid" w:color="FFFFFF" w:fill="FFFFFF"/>
            <w:noWrap/>
            <w:vAlign w:val="center"/>
          </w:tcPr>
          <w:p>
            <w:pPr>
              <w:jc w:val="left"/>
              <w:rPr>
                <w:rFonts w:ascii="Times New Roman" w:hAnsi="Times New Roman" w:eastAsia="宋体" w:cs="Times New Roman"/>
                <w:color w:val="000000"/>
              </w:rPr>
            </w:pPr>
            <w:r>
              <w:rPr>
                <w:rFonts w:ascii="Times New Roman" w:hAnsi="Times New Roman" w:eastAsia="宋体" w:cs="Times New Roman"/>
                <w:color w:val="000000"/>
              </w:rPr>
              <w:t>资金到位率</w:t>
            </w:r>
          </w:p>
        </w:tc>
        <w:tc>
          <w:tcPr>
            <w:tcW w:w="1067" w:type="pct"/>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3.00</w:t>
            </w:r>
          </w:p>
        </w:tc>
        <w:tc>
          <w:tcPr>
            <w:tcW w:w="502" w:type="pct"/>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3.00</w:t>
            </w:r>
          </w:p>
        </w:tc>
        <w:tc>
          <w:tcPr>
            <w:tcW w:w="502" w:type="pct"/>
            <w:shd w:val="solid" w:color="FFFFFF" w:fill="FFFFFF"/>
            <w:noWrap/>
            <w:vAlign w:val="center"/>
          </w:tcPr>
          <w:p>
            <w:pPr>
              <w:jc w:val="right"/>
              <w:rPr>
                <w:rFonts w:ascii="Times New Roman" w:hAnsi="Times New Roman" w:eastAsia="宋体" w:cs="Times New Roman"/>
                <w:color w:val="000000"/>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CellMar>
            <w:top w:w="0" w:type="dxa"/>
            <w:left w:w="108" w:type="dxa"/>
            <w:bottom w:w="0" w:type="dxa"/>
            <w:right w:w="108" w:type="dxa"/>
          </w:tblCellMar>
        </w:tblPrEx>
        <w:trPr>
          <w:trHeight w:val="397" w:hRule="atLeast"/>
        </w:trPr>
        <w:tc>
          <w:tcPr>
            <w:tcW w:w="1172" w:type="pct"/>
            <w:vMerge w:val="continue"/>
            <w:tcBorders>
              <w:bottom w:val="single" w:color="000000" w:sz="4" w:space="0"/>
            </w:tcBorders>
            <w:shd w:val="solid" w:color="FFFFFF" w:fill="FFFFFF"/>
            <w:vAlign w:val="center"/>
          </w:tcPr>
          <w:p>
            <w:pPr>
              <w:rPr>
                <w:rFonts w:ascii="Times New Roman" w:hAnsi="Times New Roman" w:eastAsia="宋体" w:cs="Times New Roman"/>
                <w:color w:val="000000"/>
              </w:rPr>
            </w:pPr>
          </w:p>
        </w:tc>
        <w:tc>
          <w:tcPr>
            <w:tcW w:w="698" w:type="pct"/>
            <w:vMerge w:val="continue"/>
            <w:tcBorders>
              <w:bottom w:val="single" w:color="000000" w:sz="4" w:space="0"/>
            </w:tcBorders>
            <w:shd w:val="solid" w:color="FFFFFF" w:fill="FFFFFF"/>
            <w:vAlign w:val="center"/>
          </w:tcPr>
          <w:p>
            <w:pPr>
              <w:rPr>
                <w:rFonts w:ascii="Times New Roman" w:hAnsi="Times New Roman" w:eastAsia="宋体" w:cs="Times New Roman"/>
                <w:color w:val="000000"/>
              </w:rPr>
            </w:pPr>
          </w:p>
        </w:tc>
        <w:tc>
          <w:tcPr>
            <w:tcW w:w="1059" w:type="pct"/>
            <w:tcBorders>
              <w:bottom w:val="single" w:color="000000" w:sz="4" w:space="0"/>
            </w:tcBorders>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到位及时率</w:t>
            </w:r>
          </w:p>
        </w:tc>
        <w:tc>
          <w:tcPr>
            <w:tcW w:w="1067" w:type="pct"/>
            <w:tcBorders>
              <w:bottom w:val="single" w:color="000000" w:sz="4" w:space="0"/>
            </w:tcBorders>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3.00</w:t>
            </w:r>
          </w:p>
        </w:tc>
        <w:tc>
          <w:tcPr>
            <w:tcW w:w="502" w:type="pct"/>
            <w:tcBorders>
              <w:bottom w:val="single" w:color="000000" w:sz="4" w:space="0"/>
            </w:tcBorders>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3.00</w:t>
            </w:r>
          </w:p>
        </w:tc>
        <w:tc>
          <w:tcPr>
            <w:tcW w:w="502" w:type="pct"/>
            <w:tcBorders>
              <w:bottom w:val="single" w:color="000000" w:sz="4" w:space="0"/>
            </w:tcBorders>
            <w:shd w:val="solid" w:color="FFFFFF" w:fill="FFFFFF"/>
            <w:noWrap/>
            <w:vAlign w:val="center"/>
          </w:tcPr>
          <w:p>
            <w:pPr>
              <w:jc w:val="right"/>
              <w:rPr>
                <w:rFonts w:ascii="Times New Roman" w:hAnsi="Times New Roman" w:eastAsia="宋体" w:cs="Times New Roman"/>
                <w:color w:val="000000"/>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CellMar>
            <w:top w:w="0" w:type="dxa"/>
            <w:left w:w="108" w:type="dxa"/>
            <w:bottom w:w="0" w:type="dxa"/>
            <w:right w:w="108" w:type="dxa"/>
          </w:tblCellMar>
        </w:tblPrEx>
        <w:trPr>
          <w:trHeight w:val="397" w:hRule="atLeast"/>
        </w:trPr>
        <w:tc>
          <w:tcPr>
            <w:tcW w:w="2929" w:type="pct"/>
            <w:gridSpan w:val="3"/>
            <w:tcBorders>
              <w:top w:val="single" w:color="000000" w:sz="4" w:space="0"/>
              <w:bottom w:val="single" w:color="000000" w:sz="12" w:space="0"/>
            </w:tcBorders>
            <w:shd w:val="solid" w:color="FFFFFF" w:fill="FFFFFF"/>
            <w:noWrap/>
            <w:vAlign w:val="center"/>
          </w:tcPr>
          <w:p>
            <w:pPr>
              <w:jc w:val="center"/>
              <w:rPr>
                <w:rFonts w:ascii="Times New Roman" w:hAnsi="Times New Roman" w:eastAsia="宋体" w:cs="Times New Roman"/>
                <w:color w:val="000000"/>
              </w:rPr>
            </w:pPr>
            <w:r>
              <w:rPr>
                <w:rFonts w:hint="eastAsia" w:ascii="Times New Roman" w:hAnsi="Times New Roman" w:eastAsia="宋体" w:cs="Times New Roman"/>
                <w:color w:val="000000"/>
              </w:rPr>
              <w:t>合计</w:t>
            </w:r>
          </w:p>
        </w:tc>
        <w:tc>
          <w:tcPr>
            <w:tcW w:w="1067" w:type="pct"/>
            <w:tcBorders>
              <w:top w:val="single" w:color="000000" w:sz="4" w:space="0"/>
              <w:bottom w:val="single" w:color="000000" w:sz="12" w:space="0"/>
            </w:tcBorders>
            <w:shd w:val="solid" w:color="FFFFFF" w:fill="FFFFFF"/>
            <w:noWrap/>
            <w:vAlign w:val="center"/>
          </w:tcPr>
          <w:p>
            <w:pPr>
              <w:jc w:val="right"/>
              <w:rPr>
                <w:rFonts w:hint="eastAsia" w:ascii="Times New Roman" w:hAnsi="Times New Roman" w:eastAsia="宋体" w:cs="Times New Roman"/>
                <w:color w:val="000000"/>
              </w:rPr>
            </w:pPr>
            <w:r>
              <w:rPr>
                <w:rFonts w:ascii="Times New Roman" w:hAnsi="Times New Roman" w:eastAsia="宋体" w:cs="Times New Roman"/>
                <w:color w:val="000000"/>
              </w:rPr>
              <w:t>18.00</w:t>
            </w:r>
          </w:p>
        </w:tc>
        <w:tc>
          <w:tcPr>
            <w:tcW w:w="502" w:type="pct"/>
            <w:tcBorders>
              <w:top w:val="single" w:color="000000" w:sz="4" w:space="0"/>
              <w:bottom w:val="single" w:color="000000" w:sz="12" w:space="0"/>
            </w:tcBorders>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16.00</w:t>
            </w:r>
          </w:p>
        </w:tc>
        <w:tc>
          <w:tcPr>
            <w:tcW w:w="502" w:type="pct"/>
            <w:tcBorders>
              <w:top w:val="single" w:color="000000" w:sz="4" w:space="0"/>
              <w:bottom w:val="single" w:color="000000" w:sz="12" w:space="0"/>
            </w:tcBorders>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2.00</w:t>
            </w:r>
          </w:p>
        </w:tc>
      </w:tr>
    </w:tbl>
    <w:p>
      <w:pPr>
        <w:pStyle w:val="10"/>
        <w:keepNext w:val="0"/>
        <w:keepLines w:val="0"/>
        <w:pageBreakBefore w:val="0"/>
        <w:widowControl/>
        <w:kinsoku/>
        <w:wordWrap/>
        <w:overflowPunct/>
        <w:topLinePunct w:val="0"/>
        <w:autoSpaceDE/>
        <w:autoSpaceDN/>
        <w:bidi w:val="0"/>
        <w:adjustRightInd/>
        <w:snapToGrid w:val="0"/>
        <w:ind w:firstLine="560" w:firstLineChars="200"/>
        <w:textAlignment w:val="center"/>
      </w:pPr>
      <w:r>
        <w:rPr>
          <w:rFonts w:hint="eastAsia"/>
        </w:rPr>
        <w:t>过程</w:t>
      </w:r>
    </w:p>
    <w:p>
      <w:pPr>
        <w:pStyle w:val="16"/>
        <w:rPr>
          <w:rFonts w:hint="eastAsia"/>
        </w:rPr>
      </w:pPr>
      <w:r>
        <w:rPr>
          <w:rFonts w:hint="eastAsia"/>
        </w:rPr>
        <w:t>过程指标，该指标设置总分值</w:t>
      </w:r>
      <w:r>
        <w:fldChar w:fldCharType="begin"/>
      </w:r>
      <w:r>
        <w:instrText xml:space="preserve"> DOCVARIABLE "C:|Users|May|Desktop|嘉鱼发改局项目自评.xlsx||报告用表|_jds8||&amp;|分|2|D17" \* MERGEFORMAT </w:instrText>
      </w:r>
      <w:r>
        <w:fldChar w:fldCharType="separate"/>
      </w:r>
      <w:r>
        <w:rPr>
          <w:rFonts w:hint="eastAsia"/>
          <w:bCs/>
        </w:rPr>
        <w:t>22分</w:t>
      </w:r>
      <w:r>
        <w:fldChar w:fldCharType="end"/>
      </w:r>
      <w:r>
        <w:t>，评价得分</w:t>
      </w:r>
      <w:r>
        <w:fldChar w:fldCharType="begin"/>
      </w:r>
      <w:r>
        <w:instrText xml:space="preserve"> DOCVARIABLE "C:|Users|May|Desktop|嘉鱼发改局项目自评.xlsx||报告用表|_jds9|||||E17" \* MERGEFORMAT </w:instrText>
      </w:r>
      <w:r>
        <w:fldChar w:fldCharType="separate"/>
      </w:r>
      <w:r>
        <w:t>22</w:t>
      </w:r>
      <w:r>
        <w:fldChar w:fldCharType="end"/>
      </w:r>
      <w:r>
        <w:rPr>
          <w:rFonts w:hint="eastAsia"/>
        </w:rPr>
        <w:t>分</w:t>
      </w:r>
      <w:r>
        <w:t>。</w:t>
      </w:r>
    </w:p>
    <w:p>
      <w:pPr>
        <w:pStyle w:val="16"/>
        <w:widowControl w:val="0"/>
        <w:rPr>
          <w:rFonts w:hint="eastAsia"/>
        </w:rPr>
      </w:pPr>
      <w:r>
        <w:rPr>
          <w:rFonts w:hint="eastAsia"/>
        </w:rPr>
        <w:t>在业务管理方面设置分值</w:t>
      </w:r>
      <w:r>
        <w:fldChar w:fldCharType="begin"/>
      </w:r>
      <w:r>
        <w:instrText xml:space="preserve"> DOCVARIABLE "C:|Users|May|Desktop|嘉鱼发改局项目自评.xlsx||报告用表|_jds10||&amp;|分|2|H13" \* MERGEFORMAT </w:instrText>
      </w:r>
      <w:r>
        <w:fldChar w:fldCharType="separate"/>
      </w:r>
      <w:r>
        <w:rPr>
          <w:rFonts w:hint="eastAsia"/>
          <w:bCs/>
        </w:rPr>
        <w:t>11分</w:t>
      </w:r>
      <w:r>
        <w:fldChar w:fldCharType="end"/>
      </w:r>
      <w:r>
        <w:t>，评价得分</w:t>
      </w:r>
      <w:r>
        <w:fldChar w:fldCharType="begin"/>
      </w:r>
      <w:r>
        <w:instrText xml:space="preserve"> DOCVARIABLE "C:|Users|May|Desktop|嘉鱼发改局项目自评.xlsx||报告用表|_jds11||&amp;|分|2|I13" \* MERGEFORMAT </w:instrText>
      </w:r>
      <w:r>
        <w:fldChar w:fldCharType="separate"/>
      </w:r>
      <w:r>
        <w:rPr>
          <w:rFonts w:hint="eastAsia"/>
          <w:bCs/>
        </w:rPr>
        <w:t>11分</w:t>
      </w:r>
      <w:r>
        <w:fldChar w:fldCharType="end"/>
      </w:r>
      <w:r>
        <w:rPr>
          <w:rFonts w:hint="eastAsia"/>
        </w:rPr>
        <w:t>。项目业务管理制度健全，项目具有清晰的组织结构、明确的职责分工、规范的决策程序和有效的监督机制，以确保项目各项活动有序进行并达到预期目标。项目业务管理制度执行有效，项目管理制度能够得到全面贯彻，各项规章制度得以执行并产生实际效果，确保项目活动按照规定进行，提高项目执行的效率和质量。项目质量可控，项目管理团队能够有效地识别、监控和控制项目活动中的质量风险，采取相应措施确保项目达到预期质量标准，从而提高项目成果的可靠性和稳定性。</w:t>
      </w:r>
    </w:p>
    <w:p>
      <w:pPr>
        <w:pStyle w:val="16"/>
        <w:widowControl w:val="0"/>
      </w:pPr>
      <w:r>
        <w:rPr>
          <w:rFonts w:hint="eastAsia"/>
        </w:rPr>
        <w:t>在财务管理方面设置分值</w:t>
      </w:r>
      <w:r>
        <w:fldChar w:fldCharType="begin"/>
      </w:r>
      <w:r>
        <w:instrText xml:space="preserve"> DOCVARIABLE "C:|Users|May|Desktop|嘉鱼发改局项目自评.xlsx||报告用表|_jds12||&amp;|分|2|H16" \* MERGEFORMAT </w:instrText>
      </w:r>
      <w:r>
        <w:fldChar w:fldCharType="separate"/>
      </w:r>
      <w:r>
        <w:rPr>
          <w:rFonts w:hint="eastAsia"/>
          <w:bCs/>
        </w:rPr>
        <w:t>11分</w:t>
      </w:r>
      <w:r>
        <w:fldChar w:fldCharType="end"/>
      </w:r>
      <w:r>
        <w:t>，评价得分</w:t>
      </w:r>
      <w:r>
        <w:fldChar w:fldCharType="begin"/>
      </w:r>
      <w:r>
        <w:instrText xml:space="preserve"> DOCVARIABLE "C:|Users|May|Desktop|嘉鱼发改局项目自评.xlsx||报告用表|_jds12||&amp;|分|2|H16" \* MERGEFORMAT </w:instrText>
      </w:r>
      <w:r>
        <w:fldChar w:fldCharType="separate"/>
      </w:r>
      <w:r>
        <w:rPr>
          <w:rFonts w:hint="eastAsia"/>
        </w:rPr>
        <w:t>11分</w:t>
      </w:r>
      <w:r>
        <w:fldChar w:fldCharType="end"/>
      </w:r>
      <w:r>
        <w:t>。</w:t>
      </w:r>
      <w:r>
        <w:rPr>
          <w:rFonts w:hint="eastAsia"/>
        </w:rPr>
        <w:t>项目财务管理制度健全，项目具备完善的财务管理体系，包括财务核算、预算控制、内部审计等方面，以确保资金使用合规、透明，经费开支合理、有效。项目资金使用合规，项目在支出、报销、结算等方面遵循财务管理规定和项目预算，确保资金使用合法合规、透明公正，有效保障项目经费的合理利用。项目财务监控有效，项目设立了有效的财务监控机制，能够及时发现并解决财务风险和问题，确保资金使用符合预算、合规性和透明度，从而有效保障项目资金的安全和合理利用。该项指标具体评分结果如下：</w:t>
      </w:r>
    </w:p>
    <w:tbl>
      <w:tblPr>
        <w:tblStyle w:val="5"/>
        <w:tblW w:w="5000" w:type="pct"/>
        <w:tblCaption w:val="C:\Users\May\Desktop|嘉鱼发改局项目自评.xlsx|报告用表|_jds15|0|desc|||0|1"/>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Layout w:type="autofit"/>
        <w:tblCellMar>
          <w:top w:w="0" w:type="dxa"/>
          <w:left w:w="108" w:type="dxa"/>
          <w:bottom w:w="0" w:type="dxa"/>
          <w:right w:w="108" w:type="dxa"/>
        </w:tblCellMar>
      </w:tblPr>
      <w:tblGrid>
        <w:gridCol w:w="1998"/>
        <w:gridCol w:w="1992"/>
        <w:gridCol w:w="1515"/>
        <w:gridCol w:w="1503"/>
        <w:gridCol w:w="761"/>
        <w:gridCol w:w="75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CellMar>
            <w:top w:w="0" w:type="dxa"/>
            <w:left w:w="108" w:type="dxa"/>
            <w:bottom w:w="0" w:type="dxa"/>
            <w:right w:w="108" w:type="dxa"/>
          </w:tblCellMar>
        </w:tblPrEx>
        <w:trPr>
          <w:trHeight w:val="397" w:hRule="atLeast"/>
          <w:tblHeader/>
        </w:trPr>
        <w:tc>
          <w:tcPr>
            <w:tcW w:w="1172" w:type="pct"/>
            <w:tcBorders>
              <w:top w:val="single" w:color="000000" w:sz="12" w:space="0"/>
              <w:bottom w:val="single" w:color="000000" w:sz="4" w:space="0"/>
            </w:tcBorders>
            <w:shd w:val="solid" w:color="FFFFFF" w:fill="FFFFFF"/>
            <w:noWrap/>
            <w:vAlign w:val="center"/>
          </w:tcPr>
          <w:p>
            <w:pPr>
              <w:widowControl/>
              <w:jc w:val="left"/>
              <w:rPr>
                <w:rFonts w:ascii="Times New Roman" w:hAnsi="Times New Roman" w:eastAsia="宋体" w:cs="Times New Roman"/>
                <w:color w:val="000000"/>
              </w:rPr>
            </w:pPr>
            <w:r>
              <w:rPr>
                <w:rFonts w:ascii="Times New Roman" w:hAnsi="Times New Roman" w:eastAsia="宋体" w:cs="Times New Roman"/>
                <w:color w:val="000000"/>
              </w:rPr>
              <w:t xml:space="preserve">一级指标 </w:t>
            </w:r>
          </w:p>
        </w:tc>
        <w:tc>
          <w:tcPr>
            <w:tcW w:w="1168" w:type="pct"/>
            <w:tcBorders>
              <w:top w:val="single" w:color="000000" w:sz="12" w:space="0"/>
              <w:bottom w:val="single" w:color="000000" w:sz="4" w:space="0"/>
            </w:tcBorders>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 xml:space="preserve"> 二级指标 </w:t>
            </w:r>
          </w:p>
        </w:tc>
        <w:tc>
          <w:tcPr>
            <w:tcW w:w="888" w:type="pct"/>
            <w:tcBorders>
              <w:top w:val="single" w:color="000000" w:sz="12" w:space="0"/>
              <w:bottom w:val="single" w:color="000000" w:sz="4" w:space="0"/>
            </w:tcBorders>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 xml:space="preserve"> 三级指标 </w:t>
            </w:r>
          </w:p>
        </w:tc>
        <w:tc>
          <w:tcPr>
            <w:tcW w:w="881" w:type="pct"/>
            <w:tcBorders>
              <w:top w:val="single" w:color="000000" w:sz="12" w:space="0"/>
              <w:bottom w:val="single" w:color="000000" w:sz="4" w:space="0"/>
            </w:tcBorders>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 xml:space="preserve"> 分值</w:t>
            </w:r>
          </w:p>
        </w:tc>
        <w:tc>
          <w:tcPr>
            <w:tcW w:w="446" w:type="pct"/>
            <w:tcBorders>
              <w:top w:val="single" w:color="000000" w:sz="12" w:space="0"/>
              <w:bottom w:val="single" w:color="000000" w:sz="4" w:space="0"/>
            </w:tcBorders>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 xml:space="preserve"> 得分</w:t>
            </w:r>
          </w:p>
        </w:tc>
        <w:tc>
          <w:tcPr>
            <w:tcW w:w="446" w:type="pct"/>
            <w:tcBorders>
              <w:top w:val="single" w:color="000000" w:sz="12" w:space="0"/>
              <w:bottom w:val="single" w:color="000000" w:sz="4" w:space="0"/>
            </w:tcBorders>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 xml:space="preserve"> 扣分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CellMar>
            <w:top w:w="0" w:type="dxa"/>
            <w:left w:w="108" w:type="dxa"/>
            <w:bottom w:w="0" w:type="dxa"/>
            <w:right w:w="108" w:type="dxa"/>
          </w:tblCellMar>
        </w:tblPrEx>
        <w:trPr>
          <w:trHeight w:val="397" w:hRule="atLeast"/>
        </w:trPr>
        <w:tc>
          <w:tcPr>
            <w:tcW w:w="1172" w:type="pct"/>
            <w:vMerge w:val="restart"/>
            <w:tcBorders>
              <w:top w:val="single" w:color="000000" w:sz="4" w:space="0"/>
            </w:tcBorders>
            <w:shd w:val="solid" w:color="FFFFFF" w:fill="FFFFFF"/>
            <w:noWrap/>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过程指标（22分）</w:t>
            </w:r>
          </w:p>
        </w:tc>
        <w:tc>
          <w:tcPr>
            <w:tcW w:w="1168" w:type="pct"/>
            <w:vMerge w:val="restart"/>
            <w:tcBorders>
              <w:top w:val="single" w:color="000000" w:sz="4" w:space="0"/>
            </w:tcBorders>
            <w:shd w:val="solid" w:color="FFFFFF" w:fill="FFFFFF"/>
            <w:noWrap/>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业务管理（11分）</w:t>
            </w:r>
          </w:p>
        </w:tc>
        <w:tc>
          <w:tcPr>
            <w:tcW w:w="888" w:type="pct"/>
            <w:tcBorders>
              <w:top w:val="single" w:color="000000" w:sz="4" w:space="0"/>
            </w:tcBorders>
            <w:shd w:val="solid" w:color="FFFFFF" w:fill="FFFFFF"/>
            <w:noWrap/>
            <w:vAlign w:val="center"/>
          </w:tcPr>
          <w:p>
            <w:pPr>
              <w:jc w:val="left"/>
              <w:rPr>
                <w:rFonts w:ascii="Times New Roman" w:hAnsi="Times New Roman" w:eastAsia="宋体" w:cs="Times New Roman"/>
                <w:color w:val="000000"/>
              </w:rPr>
            </w:pPr>
            <w:r>
              <w:rPr>
                <w:rFonts w:ascii="Times New Roman" w:hAnsi="Times New Roman" w:eastAsia="宋体" w:cs="Times New Roman"/>
                <w:color w:val="000000"/>
              </w:rPr>
              <w:t>管理制度健全</w:t>
            </w:r>
          </w:p>
        </w:tc>
        <w:tc>
          <w:tcPr>
            <w:tcW w:w="881" w:type="pct"/>
            <w:tcBorders>
              <w:top w:val="single" w:color="000000" w:sz="4" w:space="0"/>
            </w:tcBorders>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3.00</w:t>
            </w:r>
          </w:p>
        </w:tc>
        <w:tc>
          <w:tcPr>
            <w:tcW w:w="446" w:type="pct"/>
            <w:tcBorders>
              <w:top w:val="single" w:color="000000" w:sz="4" w:space="0"/>
            </w:tcBorders>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3.00</w:t>
            </w:r>
          </w:p>
        </w:tc>
        <w:tc>
          <w:tcPr>
            <w:tcW w:w="446" w:type="pct"/>
            <w:tcBorders>
              <w:top w:val="single" w:color="000000" w:sz="4" w:space="0"/>
            </w:tcBorders>
            <w:shd w:val="solid" w:color="FFFFFF" w:fill="FFFFFF"/>
            <w:noWrap/>
            <w:vAlign w:val="center"/>
          </w:tcPr>
          <w:p>
            <w:pPr>
              <w:jc w:val="right"/>
              <w:rPr>
                <w:rFonts w:ascii="Times New Roman" w:hAnsi="Times New Roman" w:eastAsia="宋体" w:cs="Times New Roman"/>
                <w:color w:val="000000"/>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CellMar>
            <w:top w:w="0" w:type="dxa"/>
            <w:left w:w="108" w:type="dxa"/>
            <w:bottom w:w="0" w:type="dxa"/>
            <w:right w:w="108" w:type="dxa"/>
          </w:tblCellMar>
        </w:tblPrEx>
        <w:trPr>
          <w:trHeight w:val="397" w:hRule="atLeast"/>
        </w:trPr>
        <w:tc>
          <w:tcPr>
            <w:tcW w:w="1172" w:type="pct"/>
            <w:vMerge w:val="continue"/>
            <w:shd w:val="solid" w:color="FFFFFF" w:fill="FFFFFF"/>
            <w:vAlign w:val="center"/>
          </w:tcPr>
          <w:p>
            <w:pPr>
              <w:rPr>
                <w:rFonts w:ascii="Times New Roman" w:hAnsi="Times New Roman" w:eastAsia="宋体" w:cs="Times New Roman"/>
                <w:color w:val="000000"/>
              </w:rPr>
            </w:pPr>
          </w:p>
        </w:tc>
        <w:tc>
          <w:tcPr>
            <w:tcW w:w="1168" w:type="pct"/>
            <w:vMerge w:val="continue"/>
            <w:shd w:val="solid" w:color="FFFFFF" w:fill="FFFFFF"/>
            <w:vAlign w:val="center"/>
          </w:tcPr>
          <w:p>
            <w:pPr>
              <w:rPr>
                <w:rFonts w:ascii="Times New Roman" w:hAnsi="Times New Roman" w:eastAsia="宋体" w:cs="Times New Roman"/>
                <w:color w:val="000000"/>
              </w:rPr>
            </w:pPr>
          </w:p>
        </w:tc>
        <w:tc>
          <w:tcPr>
            <w:tcW w:w="888" w:type="pct"/>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制度执行有效</w:t>
            </w:r>
          </w:p>
        </w:tc>
        <w:tc>
          <w:tcPr>
            <w:tcW w:w="881" w:type="pct"/>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4.00</w:t>
            </w:r>
          </w:p>
        </w:tc>
        <w:tc>
          <w:tcPr>
            <w:tcW w:w="446" w:type="pct"/>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4.00</w:t>
            </w:r>
          </w:p>
        </w:tc>
        <w:tc>
          <w:tcPr>
            <w:tcW w:w="446" w:type="pct"/>
            <w:shd w:val="solid" w:color="FFFFFF" w:fill="FFFFFF"/>
            <w:noWrap/>
            <w:vAlign w:val="center"/>
          </w:tcPr>
          <w:p>
            <w:pPr>
              <w:jc w:val="right"/>
              <w:rPr>
                <w:rFonts w:ascii="Times New Roman" w:hAnsi="Times New Roman" w:eastAsia="宋体" w:cs="Times New Roman"/>
                <w:color w:val="000000"/>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CellMar>
            <w:top w:w="0" w:type="dxa"/>
            <w:left w:w="108" w:type="dxa"/>
            <w:bottom w:w="0" w:type="dxa"/>
            <w:right w:w="108" w:type="dxa"/>
          </w:tblCellMar>
        </w:tblPrEx>
        <w:trPr>
          <w:trHeight w:val="397" w:hRule="atLeast"/>
        </w:trPr>
        <w:tc>
          <w:tcPr>
            <w:tcW w:w="1172" w:type="pct"/>
            <w:vMerge w:val="continue"/>
            <w:shd w:val="solid" w:color="FFFFFF" w:fill="FFFFFF"/>
            <w:vAlign w:val="center"/>
          </w:tcPr>
          <w:p>
            <w:pPr>
              <w:rPr>
                <w:rFonts w:ascii="Times New Roman" w:hAnsi="Times New Roman" w:eastAsia="宋体" w:cs="Times New Roman"/>
                <w:color w:val="000000"/>
              </w:rPr>
            </w:pPr>
          </w:p>
        </w:tc>
        <w:tc>
          <w:tcPr>
            <w:tcW w:w="1168" w:type="pct"/>
            <w:vMerge w:val="continue"/>
            <w:shd w:val="solid" w:color="FFFFFF" w:fill="FFFFFF"/>
            <w:vAlign w:val="center"/>
          </w:tcPr>
          <w:p>
            <w:pPr>
              <w:rPr>
                <w:rFonts w:ascii="Times New Roman" w:hAnsi="Times New Roman" w:eastAsia="宋体" w:cs="Times New Roman"/>
                <w:color w:val="000000"/>
              </w:rPr>
            </w:pPr>
          </w:p>
        </w:tc>
        <w:tc>
          <w:tcPr>
            <w:tcW w:w="888" w:type="pct"/>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项目质量可控</w:t>
            </w:r>
          </w:p>
        </w:tc>
        <w:tc>
          <w:tcPr>
            <w:tcW w:w="881" w:type="pct"/>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4.00</w:t>
            </w:r>
          </w:p>
        </w:tc>
        <w:tc>
          <w:tcPr>
            <w:tcW w:w="446" w:type="pct"/>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4.00</w:t>
            </w:r>
          </w:p>
        </w:tc>
        <w:tc>
          <w:tcPr>
            <w:tcW w:w="446" w:type="pct"/>
            <w:shd w:val="solid" w:color="FFFFFF" w:fill="FFFFFF"/>
            <w:noWrap/>
            <w:vAlign w:val="center"/>
          </w:tcPr>
          <w:p>
            <w:pPr>
              <w:jc w:val="right"/>
              <w:rPr>
                <w:rFonts w:ascii="Times New Roman" w:hAnsi="Times New Roman" w:eastAsia="宋体" w:cs="Times New Roman"/>
                <w:color w:val="000000"/>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CellMar>
            <w:top w:w="0" w:type="dxa"/>
            <w:left w:w="108" w:type="dxa"/>
            <w:bottom w:w="0" w:type="dxa"/>
            <w:right w:w="108" w:type="dxa"/>
          </w:tblCellMar>
        </w:tblPrEx>
        <w:trPr>
          <w:trHeight w:val="397" w:hRule="atLeast"/>
        </w:trPr>
        <w:tc>
          <w:tcPr>
            <w:tcW w:w="1172" w:type="pct"/>
            <w:vMerge w:val="continue"/>
            <w:shd w:val="solid" w:color="FFFFFF" w:fill="FFFFFF"/>
            <w:vAlign w:val="center"/>
          </w:tcPr>
          <w:p>
            <w:pPr>
              <w:rPr>
                <w:rFonts w:ascii="Times New Roman" w:hAnsi="Times New Roman" w:eastAsia="宋体" w:cs="Times New Roman"/>
                <w:color w:val="000000"/>
              </w:rPr>
            </w:pPr>
          </w:p>
        </w:tc>
        <w:tc>
          <w:tcPr>
            <w:tcW w:w="1168" w:type="pct"/>
            <w:vMerge w:val="restart"/>
            <w:shd w:val="solid" w:color="FFFFFF" w:fill="FFFFFF"/>
            <w:noWrap/>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财务管理</w:t>
            </w:r>
            <w:r>
              <w:rPr>
                <w:rFonts w:ascii="Times New Roman" w:hAnsi="Times New Roman" w:eastAsia="宋体" w:cs="Times New Roman"/>
                <w:color w:val="000000"/>
              </w:rPr>
              <w:br w:type="textWrapping"/>
            </w:r>
            <w:r>
              <w:rPr>
                <w:rFonts w:ascii="Times New Roman" w:hAnsi="Times New Roman" w:eastAsia="宋体" w:cs="Times New Roman"/>
                <w:color w:val="000000"/>
              </w:rPr>
              <w:t>（11分）</w:t>
            </w:r>
          </w:p>
        </w:tc>
        <w:tc>
          <w:tcPr>
            <w:tcW w:w="888" w:type="pct"/>
            <w:shd w:val="solid" w:color="FFFFFF" w:fill="FFFFFF"/>
            <w:noWrap/>
            <w:vAlign w:val="center"/>
          </w:tcPr>
          <w:p>
            <w:pPr>
              <w:jc w:val="left"/>
              <w:rPr>
                <w:rFonts w:ascii="Times New Roman" w:hAnsi="Times New Roman" w:eastAsia="宋体" w:cs="Times New Roman"/>
                <w:color w:val="000000"/>
              </w:rPr>
            </w:pPr>
            <w:r>
              <w:rPr>
                <w:rFonts w:ascii="Times New Roman" w:hAnsi="Times New Roman" w:eastAsia="宋体" w:cs="Times New Roman"/>
                <w:color w:val="000000"/>
              </w:rPr>
              <w:t>管理制度健全</w:t>
            </w:r>
          </w:p>
        </w:tc>
        <w:tc>
          <w:tcPr>
            <w:tcW w:w="881" w:type="pct"/>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3.00</w:t>
            </w:r>
          </w:p>
        </w:tc>
        <w:tc>
          <w:tcPr>
            <w:tcW w:w="446" w:type="pct"/>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3.00</w:t>
            </w:r>
          </w:p>
        </w:tc>
        <w:tc>
          <w:tcPr>
            <w:tcW w:w="446" w:type="pct"/>
            <w:shd w:val="solid" w:color="FFFFFF" w:fill="FFFFFF"/>
            <w:noWrap/>
            <w:vAlign w:val="center"/>
          </w:tcPr>
          <w:p>
            <w:pPr>
              <w:jc w:val="right"/>
              <w:rPr>
                <w:rFonts w:ascii="Times New Roman" w:hAnsi="Times New Roman" w:eastAsia="宋体" w:cs="Times New Roman"/>
                <w:color w:val="000000"/>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CellMar>
            <w:top w:w="0" w:type="dxa"/>
            <w:left w:w="108" w:type="dxa"/>
            <w:bottom w:w="0" w:type="dxa"/>
            <w:right w:w="108" w:type="dxa"/>
          </w:tblCellMar>
        </w:tblPrEx>
        <w:trPr>
          <w:trHeight w:val="397" w:hRule="atLeast"/>
        </w:trPr>
        <w:tc>
          <w:tcPr>
            <w:tcW w:w="1172" w:type="pct"/>
            <w:vMerge w:val="continue"/>
            <w:shd w:val="solid" w:color="FFFFFF" w:fill="FFFFFF"/>
            <w:vAlign w:val="center"/>
          </w:tcPr>
          <w:p>
            <w:pPr>
              <w:rPr>
                <w:rFonts w:ascii="Times New Roman" w:hAnsi="Times New Roman" w:eastAsia="宋体" w:cs="Times New Roman"/>
                <w:color w:val="000000"/>
              </w:rPr>
            </w:pPr>
          </w:p>
        </w:tc>
        <w:tc>
          <w:tcPr>
            <w:tcW w:w="1168" w:type="pct"/>
            <w:vMerge w:val="continue"/>
            <w:shd w:val="solid" w:color="FFFFFF" w:fill="FFFFFF"/>
            <w:vAlign w:val="center"/>
          </w:tcPr>
          <w:p>
            <w:pPr>
              <w:rPr>
                <w:rFonts w:ascii="Times New Roman" w:hAnsi="Times New Roman" w:eastAsia="宋体" w:cs="Times New Roman"/>
                <w:color w:val="000000"/>
              </w:rPr>
            </w:pPr>
          </w:p>
        </w:tc>
        <w:tc>
          <w:tcPr>
            <w:tcW w:w="888" w:type="pct"/>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资金使用合规</w:t>
            </w:r>
          </w:p>
        </w:tc>
        <w:tc>
          <w:tcPr>
            <w:tcW w:w="881" w:type="pct"/>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4.00</w:t>
            </w:r>
          </w:p>
        </w:tc>
        <w:tc>
          <w:tcPr>
            <w:tcW w:w="446" w:type="pct"/>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4.00</w:t>
            </w:r>
          </w:p>
        </w:tc>
        <w:tc>
          <w:tcPr>
            <w:tcW w:w="446" w:type="pct"/>
            <w:shd w:val="solid" w:color="FFFFFF" w:fill="FFFFFF"/>
            <w:noWrap/>
            <w:vAlign w:val="center"/>
          </w:tcPr>
          <w:p>
            <w:pPr>
              <w:jc w:val="right"/>
              <w:rPr>
                <w:rFonts w:ascii="Times New Roman" w:hAnsi="Times New Roman" w:eastAsia="宋体" w:cs="Times New Roman"/>
                <w:color w:val="000000"/>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CellMar>
            <w:top w:w="0" w:type="dxa"/>
            <w:left w:w="108" w:type="dxa"/>
            <w:bottom w:w="0" w:type="dxa"/>
            <w:right w:w="108" w:type="dxa"/>
          </w:tblCellMar>
        </w:tblPrEx>
        <w:trPr>
          <w:trHeight w:val="397" w:hRule="atLeast"/>
        </w:trPr>
        <w:tc>
          <w:tcPr>
            <w:tcW w:w="1172" w:type="pct"/>
            <w:vMerge w:val="continue"/>
            <w:tcBorders>
              <w:bottom w:val="single" w:color="000000" w:sz="4" w:space="0"/>
            </w:tcBorders>
            <w:shd w:val="solid" w:color="FFFFFF" w:fill="FFFFFF"/>
            <w:vAlign w:val="center"/>
          </w:tcPr>
          <w:p>
            <w:pPr>
              <w:rPr>
                <w:rFonts w:ascii="Times New Roman" w:hAnsi="Times New Roman" w:eastAsia="宋体" w:cs="Times New Roman"/>
                <w:color w:val="000000"/>
              </w:rPr>
            </w:pPr>
          </w:p>
        </w:tc>
        <w:tc>
          <w:tcPr>
            <w:tcW w:w="1168" w:type="pct"/>
            <w:vMerge w:val="continue"/>
            <w:tcBorders>
              <w:bottom w:val="single" w:color="000000" w:sz="4" w:space="0"/>
            </w:tcBorders>
            <w:shd w:val="solid" w:color="FFFFFF" w:fill="FFFFFF"/>
            <w:vAlign w:val="center"/>
          </w:tcPr>
          <w:p>
            <w:pPr>
              <w:rPr>
                <w:rFonts w:ascii="Times New Roman" w:hAnsi="Times New Roman" w:eastAsia="宋体" w:cs="Times New Roman"/>
                <w:color w:val="000000"/>
              </w:rPr>
            </w:pPr>
          </w:p>
        </w:tc>
        <w:tc>
          <w:tcPr>
            <w:tcW w:w="888" w:type="pct"/>
            <w:tcBorders>
              <w:bottom w:val="single" w:color="000000" w:sz="4" w:space="0"/>
            </w:tcBorders>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财务监控有效</w:t>
            </w:r>
          </w:p>
        </w:tc>
        <w:tc>
          <w:tcPr>
            <w:tcW w:w="881" w:type="pct"/>
            <w:tcBorders>
              <w:bottom w:val="single" w:color="000000" w:sz="4" w:space="0"/>
            </w:tcBorders>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4.00</w:t>
            </w:r>
          </w:p>
        </w:tc>
        <w:tc>
          <w:tcPr>
            <w:tcW w:w="446" w:type="pct"/>
            <w:tcBorders>
              <w:bottom w:val="single" w:color="000000" w:sz="4" w:space="0"/>
            </w:tcBorders>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4.00</w:t>
            </w:r>
          </w:p>
        </w:tc>
        <w:tc>
          <w:tcPr>
            <w:tcW w:w="446" w:type="pct"/>
            <w:tcBorders>
              <w:bottom w:val="single" w:color="000000" w:sz="4" w:space="0"/>
            </w:tcBorders>
            <w:shd w:val="solid" w:color="FFFFFF" w:fill="FFFFFF"/>
            <w:noWrap/>
            <w:vAlign w:val="center"/>
          </w:tcPr>
          <w:p>
            <w:pPr>
              <w:jc w:val="right"/>
              <w:rPr>
                <w:rFonts w:ascii="Times New Roman" w:hAnsi="Times New Roman" w:eastAsia="宋体" w:cs="Times New Roman"/>
                <w:color w:val="000000"/>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CellMar>
            <w:top w:w="0" w:type="dxa"/>
            <w:left w:w="108" w:type="dxa"/>
            <w:bottom w:w="0" w:type="dxa"/>
            <w:right w:w="108" w:type="dxa"/>
          </w:tblCellMar>
        </w:tblPrEx>
        <w:trPr>
          <w:trHeight w:val="397" w:hRule="atLeast"/>
        </w:trPr>
        <w:tc>
          <w:tcPr>
            <w:tcW w:w="3228" w:type="pct"/>
            <w:gridSpan w:val="3"/>
            <w:tcBorders>
              <w:top w:val="single" w:color="000000" w:sz="4" w:space="0"/>
              <w:bottom w:val="single" w:color="000000" w:sz="12" w:space="0"/>
            </w:tcBorders>
            <w:shd w:val="solid" w:color="FFFFFF" w:fill="FFFFFF"/>
            <w:noWrap/>
            <w:vAlign w:val="center"/>
          </w:tcPr>
          <w:p>
            <w:pPr>
              <w:jc w:val="center"/>
              <w:rPr>
                <w:rFonts w:ascii="Times New Roman" w:hAnsi="Times New Roman" w:eastAsia="宋体" w:cs="Times New Roman"/>
                <w:color w:val="000000"/>
              </w:rPr>
            </w:pPr>
            <w:r>
              <w:rPr>
                <w:rFonts w:hint="eastAsia" w:ascii="Times New Roman" w:hAnsi="Times New Roman" w:eastAsia="宋体" w:cs="Times New Roman"/>
                <w:color w:val="000000"/>
              </w:rPr>
              <w:t>合计</w:t>
            </w:r>
          </w:p>
        </w:tc>
        <w:tc>
          <w:tcPr>
            <w:tcW w:w="881" w:type="pct"/>
            <w:tcBorders>
              <w:top w:val="single" w:color="000000" w:sz="4" w:space="0"/>
              <w:bottom w:val="single" w:color="000000" w:sz="12" w:space="0"/>
            </w:tcBorders>
            <w:shd w:val="solid" w:color="FFFFFF" w:fill="FFFFFF"/>
            <w:noWrap/>
            <w:vAlign w:val="center"/>
          </w:tcPr>
          <w:p>
            <w:pPr>
              <w:jc w:val="right"/>
              <w:rPr>
                <w:rFonts w:hint="eastAsia" w:ascii="Times New Roman" w:hAnsi="Times New Roman" w:eastAsia="宋体" w:cs="Times New Roman"/>
                <w:color w:val="000000"/>
              </w:rPr>
            </w:pPr>
            <w:r>
              <w:rPr>
                <w:rFonts w:ascii="Times New Roman" w:hAnsi="Times New Roman" w:eastAsia="宋体" w:cs="Times New Roman"/>
                <w:color w:val="000000"/>
              </w:rPr>
              <w:t>22.00</w:t>
            </w:r>
          </w:p>
        </w:tc>
        <w:tc>
          <w:tcPr>
            <w:tcW w:w="446" w:type="pct"/>
            <w:tcBorders>
              <w:top w:val="single" w:color="000000" w:sz="4" w:space="0"/>
              <w:bottom w:val="single" w:color="000000" w:sz="12" w:space="0"/>
            </w:tcBorders>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22.00</w:t>
            </w:r>
          </w:p>
        </w:tc>
        <w:tc>
          <w:tcPr>
            <w:tcW w:w="446" w:type="pct"/>
            <w:tcBorders>
              <w:top w:val="single" w:color="000000" w:sz="4" w:space="0"/>
              <w:bottom w:val="single" w:color="000000" w:sz="12" w:space="0"/>
            </w:tcBorders>
            <w:shd w:val="solid" w:color="FFFFFF" w:fill="FFFFFF"/>
            <w:noWrap/>
            <w:vAlign w:val="center"/>
          </w:tcPr>
          <w:p>
            <w:pPr>
              <w:jc w:val="right"/>
              <w:rPr>
                <w:rFonts w:ascii="Times New Roman" w:hAnsi="Times New Roman" w:eastAsia="宋体" w:cs="Times New Roman"/>
                <w:color w:val="000000"/>
              </w:rPr>
            </w:pPr>
          </w:p>
        </w:tc>
      </w:tr>
    </w:tbl>
    <w:p>
      <w:pPr>
        <w:pStyle w:val="10"/>
        <w:keepNext w:val="0"/>
        <w:keepLines w:val="0"/>
        <w:pageBreakBefore w:val="0"/>
        <w:widowControl/>
        <w:kinsoku/>
        <w:wordWrap/>
        <w:overflowPunct/>
        <w:topLinePunct w:val="0"/>
        <w:autoSpaceDE/>
        <w:autoSpaceDN/>
        <w:bidi w:val="0"/>
        <w:adjustRightInd/>
        <w:snapToGrid w:val="0"/>
        <w:ind w:firstLine="560" w:firstLineChars="200"/>
        <w:textAlignment w:val="center"/>
      </w:pPr>
      <w:r>
        <w:rPr>
          <w:rFonts w:hint="eastAsia"/>
        </w:rPr>
        <w:t>成本</w:t>
      </w:r>
    </w:p>
    <w:p>
      <w:pPr>
        <w:pStyle w:val="16"/>
        <w:rPr>
          <w:rFonts w:hint="eastAsia"/>
        </w:rPr>
      </w:pPr>
      <w:r>
        <w:rPr>
          <w:rFonts w:hint="eastAsia"/>
        </w:rPr>
        <w:t>成本指标，该指标设置总分值</w:t>
      </w:r>
      <w:r>
        <w:fldChar w:fldCharType="begin"/>
      </w:r>
      <w:r>
        <w:instrText xml:space="preserve"> DOCVARIABLE "C:|Users|May|Desktop|嘉鱼发改局项目自评.xlsx||报告用表|_jds16||&amp;|分|2|D24" \* MERGEFORMAT </w:instrText>
      </w:r>
      <w:r>
        <w:fldChar w:fldCharType="separate"/>
      </w:r>
      <w:r>
        <w:rPr>
          <w:rFonts w:hint="eastAsia"/>
        </w:rPr>
        <w:t>15分</w:t>
      </w:r>
      <w:r>
        <w:fldChar w:fldCharType="end"/>
      </w:r>
      <w:r>
        <w:t>，评价得分</w:t>
      </w:r>
      <w:r>
        <w:fldChar w:fldCharType="begin"/>
      </w:r>
      <w:r>
        <w:instrText xml:space="preserve"> DOCVARIABLE "C:|Users|May|Desktop|嘉鱼发改局项目自评.xlsx||报告用表|_jds17||&amp;|分|2|E24" \* MERGEFORMAT </w:instrText>
      </w:r>
      <w:r>
        <w:fldChar w:fldCharType="separate"/>
      </w:r>
      <w:r>
        <w:rPr>
          <w:rFonts w:hint="eastAsia"/>
          <w:bCs/>
        </w:rPr>
        <w:t>15分</w:t>
      </w:r>
      <w:r>
        <w:fldChar w:fldCharType="end"/>
      </w:r>
      <w:r>
        <w:t>。</w:t>
      </w:r>
    </w:p>
    <w:p>
      <w:pPr>
        <w:pStyle w:val="16"/>
        <w:widowControl w:val="0"/>
      </w:pPr>
      <w:r>
        <w:rPr>
          <w:rFonts w:hint="eastAsia"/>
        </w:rPr>
        <w:t>在经济成本方面设置分值</w:t>
      </w:r>
      <w:r>
        <w:fldChar w:fldCharType="begin"/>
      </w:r>
      <w:r>
        <w:instrText xml:space="preserve"> DOCVARIABLE "C:|Users|May|Desktop|嘉鱼发改局项目自评.xlsx||报告用表|_jds18||&amp;|分|2|D21" \* MERGEFORMAT </w:instrText>
      </w:r>
      <w:r>
        <w:fldChar w:fldCharType="separate"/>
      </w:r>
      <w:r>
        <w:rPr>
          <w:rFonts w:hint="eastAsia"/>
          <w:bCs/>
        </w:rPr>
        <w:t>5分</w:t>
      </w:r>
      <w:r>
        <w:fldChar w:fldCharType="end"/>
      </w:r>
      <w:r>
        <w:t>，评价得分</w:t>
      </w:r>
      <w:r>
        <w:fldChar w:fldCharType="begin"/>
      </w:r>
      <w:r>
        <w:instrText xml:space="preserve"> DOCVARIABLE "C:|Users|May|Desktop|嘉鱼发改局项目自评.xlsx||报告用表|_jds11||&amp;|分|2|I13" \* MERGEFORMAT </w:instrText>
      </w:r>
      <w:r>
        <w:fldChar w:fldCharType="separate"/>
      </w:r>
      <w:r>
        <w:rPr>
          <w:bCs/>
        </w:rPr>
        <w:t>5</w:t>
      </w:r>
      <w:r>
        <w:rPr>
          <w:rFonts w:hint="eastAsia"/>
          <w:bCs/>
        </w:rPr>
        <w:t>分</w:t>
      </w:r>
      <w:r>
        <w:fldChar w:fldCharType="end"/>
      </w:r>
      <w:r>
        <w:rPr>
          <w:rFonts w:hint="eastAsia"/>
        </w:rPr>
        <w:t>，项目经济成本指标达标。在社会成本方面设置分值</w:t>
      </w:r>
      <w:r>
        <w:fldChar w:fldCharType="begin"/>
      </w:r>
      <w:r>
        <w:instrText xml:space="preserve"> DOCVARIABLE "C:|Users|May|Desktop|嘉鱼发改局项目自评.xlsx||报告用表|_jds18||&amp;|分|2|D21" \* MERGEFORMAT </w:instrText>
      </w:r>
      <w:r>
        <w:fldChar w:fldCharType="separate"/>
      </w:r>
      <w:r>
        <w:rPr>
          <w:rFonts w:hint="eastAsia"/>
          <w:bCs/>
        </w:rPr>
        <w:t>5分</w:t>
      </w:r>
      <w:r>
        <w:fldChar w:fldCharType="end"/>
      </w:r>
      <w:r>
        <w:t>，评价得分</w:t>
      </w:r>
      <w:r>
        <w:fldChar w:fldCharType="begin"/>
      </w:r>
      <w:r>
        <w:instrText xml:space="preserve"> DOCVARIABLE "C:|Users|May|Desktop|嘉鱼发改局项目自评.xlsx||报告用表|_jds11||&amp;|分|2|I13" \* MERGEFORMAT </w:instrText>
      </w:r>
      <w:r>
        <w:fldChar w:fldCharType="separate"/>
      </w:r>
      <w:r>
        <w:rPr>
          <w:bCs/>
        </w:rPr>
        <w:t>5</w:t>
      </w:r>
      <w:r>
        <w:rPr>
          <w:rFonts w:hint="eastAsia"/>
          <w:bCs/>
        </w:rPr>
        <w:t>分</w:t>
      </w:r>
      <w:r>
        <w:fldChar w:fldCharType="end"/>
      </w:r>
      <w:r>
        <w:rPr>
          <w:rFonts w:hint="eastAsia"/>
        </w:rPr>
        <w:t>，项目社会成本指标达标。在生态环境方面设置分值</w:t>
      </w:r>
      <w:r>
        <w:fldChar w:fldCharType="begin"/>
      </w:r>
      <w:r>
        <w:instrText xml:space="preserve"> DOCVARIABLE "C:|Users|May|Desktop|嘉鱼发改局项目自评.xlsx||报告用表|_jds18||&amp;|分|2|D21" \* MERGEFORMAT </w:instrText>
      </w:r>
      <w:r>
        <w:fldChar w:fldCharType="separate"/>
      </w:r>
      <w:r>
        <w:rPr>
          <w:rFonts w:hint="eastAsia"/>
          <w:bCs/>
        </w:rPr>
        <w:t>5分</w:t>
      </w:r>
      <w:r>
        <w:fldChar w:fldCharType="end"/>
      </w:r>
      <w:r>
        <w:t>，评价得分</w:t>
      </w:r>
      <w:r>
        <w:fldChar w:fldCharType="begin"/>
      </w:r>
      <w:r>
        <w:instrText xml:space="preserve"> DOCVARIABLE "C:|Users|May|Desktop|嘉鱼发改局项目自评.xlsx||报告用表|_jds11||&amp;|分|2|I13" \* MERGEFORMAT </w:instrText>
      </w:r>
      <w:r>
        <w:fldChar w:fldCharType="separate"/>
      </w:r>
      <w:r>
        <w:rPr>
          <w:bCs/>
        </w:rPr>
        <w:t>5</w:t>
      </w:r>
      <w:r>
        <w:rPr>
          <w:rFonts w:hint="eastAsia"/>
          <w:bCs/>
        </w:rPr>
        <w:t>分</w:t>
      </w:r>
      <w:r>
        <w:fldChar w:fldCharType="end"/>
      </w:r>
      <w:r>
        <w:rPr>
          <w:rFonts w:hint="eastAsia"/>
        </w:rPr>
        <w:t>，项目生态环境指标达标。该项指标具体评分结果如下：</w:t>
      </w:r>
    </w:p>
    <w:tbl>
      <w:tblPr>
        <w:tblStyle w:val="5"/>
        <w:tblW w:w="5000" w:type="pct"/>
        <w:tblCaption w:val="C:\Users\May\Desktop|嘉鱼发改局项目自评.xlsx|报告用表|_jds20|0|desc|||0|1"/>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Layout w:type="autofit"/>
        <w:tblCellMar>
          <w:top w:w="0" w:type="dxa"/>
          <w:left w:w="108" w:type="dxa"/>
          <w:bottom w:w="0" w:type="dxa"/>
          <w:right w:w="108" w:type="dxa"/>
        </w:tblCellMar>
      </w:tblPr>
      <w:tblGrid>
        <w:gridCol w:w="1190"/>
        <w:gridCol w:w="2322"/>
        <w:gridCol w:w="1735"/>
        <w:gridCol w:w="1735"/>
        <w:gridCol w:w="773"/>
        <w:gridCol w:w="77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698" w:type="pct"/>
            <w:tcBorders>
              <w:top w:val="single" w:color="000000" w:sz="12" w:space="0"/>
              <w:bottom w:val="single" w:color="000000" w:sz="4" w:space="0"/>
            </w:tcBorders>
            <w:shd w:val="solid" w:color="FFFFFF" w:fill="FFFFFF"/>
            <w:noWrap/>
            <w:vAlign w:val="center"/>
          </w:tcPr>
          <w:p>
            <w:pPr>
              <w:widowControl/>
              <w:jc w:val="left"/>
              <w:rPr>
                <w:rFonts w:ascii="Times New Roman" w:hAnsi="Times New Roman" w:eastAsia="宋体" w:cs="Times New Roman"/>
                <w:color w:val="000000"/>
              </w:rPr>
            </w:pPr>
            <w:r>
              <w:rPr>
                <w:rFonts w:ascii="Times New Roman" w:hAnsi="Times New Roman" w:eastAsia="宋体" w:cs="Times New Roman"/>
                <w:color w:val="000000"/>
              </w:rPr>
              <w:t xml:space="preserve">一级指标 </w:t>
            </w:r>
          </w:p>
        </w:tc>
        <w:tc>
          <w:tcPr>
            <w:tcW w:w="1362" w:type="pct"/>
            <w:tcBorders>
              <w:top w:val="single" w:color="000000" w:sz="12" w:space="0"/>
              <w:bottom w:val="single" w:color="000000" w:sz="4" w:space="0"/>
            </w:tcBorders>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 xml:space="preserve"> 二级指标 </w:t>
            </w:r>
          </w:p>
        </w:tc>
        <w:tc>
          <w:tcPr>
            <w:tcW w:w="1017" w:type="pct"/>
            <w:tcBorders>
              <w:top w:val="single" w:color="000000" w:sz="12" w:space="0"/>
              <w:bottom w:val="single" w:color="000000" w:sz="4" w:space="0"/>
            </w:tcBorders>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 xml:space="preserve"> 三级指标 </w:t>
            </w:r>
          </w:p>
        </w:tc>
        <w:tc>
          <w:tcPr>
            <w:tcW w:w="1017" w:type="pct"/>
            <w:tcBorders>
              <w:top w:val="single" w:color="000000" w:sz="12" w:space="0"/>
              <w:bottom w:val="single" w:color="000000" w:sz="4" w:space="0"/>
            </w:tcBorders>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 xml:space="preserve"> 分值</w:t>
            </w:r>
          </w:p>
        </w:tc>
        <w:tc>
          <w:tcPr>
            <w:tcW w:w="453" w:type="pct"/>
            <w:tcBorders>
              <w:top w:val="single" w:color="000000" w:sz="12" w:space="0"/>
              <w:bottom w:val="single" w:color="000000" w:sz="4" w:space="0"/>
            </w:tcBorders>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 xml:space="preserve"> 得分</w:t>
            </w:r>
          </w:p>
        </w:tc>
        <w:tc>
          <w:tcPr>
            <w:tcW w:w="453" w:type="pct"/>
            <w:tcBorders>
              <w:top w:val="single" w:color="000000" w:sz="12" w:space="0"/>
              <w:bottom w:val="single" w:color="000000" w:sz="4" w:space="0"/>
            </w:tcBorders>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 xml:space="preserve"> 扣分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CellMar>
            <w:top w:w="0" w:type="dxa"/>
            <w:left w:w="108" w:type="dxa"/>
            <w:bottom w:w="0" w:type="dxa"/>
            <w:right w:w="108" w:type="dxa"/>
          </w:tblCellMar>
        </w:tblPrEx>
        <w:trPr>
          <w:trHeight w:val="397" w:hRule="atLeast"/>
        </w:trPr>
        <w:tc>
          <w:tcPr>
            <w:tcW w:w="698" w:type="pct"/>
            <w:vMerge w:val="restart"/>
            <w:tcBorders>
              <w:top w:val="single" w:color="000000" w:sz="4" w:space="0"/>
            </w:tcBorders>
            <w:shd w:val="solid" w:color="FFFFFF" w:fill="FFFFFF"/>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成本指标（15分）</w:t>
            </w:r>
          </w:p>
        </w:tc>
        <w:tc>
          <w:tcPr>
            <w:tcW w:w="1362" w:type="pct"/>
            <w:tcBorders>
              <w:top w:val="single" w:color="000000" w:sz="4" w:space="0"/>
            </w:tcBorders>
            <w:shd w:val="solid" w:color="FFFFFF" w:fill="FFFFFF"/>
            <w:noWrap/>
            <w:vAlign w:val="center"/>
          </w:tcPr>
          <w:p>
            <w:pPr>
              <w:jc w:val="left"/>
              <w:rPr>
                <w:rFonts w:ascii="Times New Roman" w:hAnsi="Times New Roman" w:eastAsia="宋体" w:cs="Times New Roman"/>
                <w:color w:val="000000"/>
              </w:rPr>
            </w:pPr>
            <w:r>
              <w:rPr>
                <w:rFonts w:ascii="Times New Roman" w:hAnsi="Times New Roman" w:eastAsia="宋体" w:cs="Times New Roman"/>
                <w:color w:val="000000"/>
              </w:rPr>
              <w:t>经济成本指标（5分）</w:t>
            </w:r>
          </w:p>
        </w:tc>
        <w:tc>
          <w:tcPr>
            <w:tcW w:w="1017" w:type="pct"/>
            <w:tcBorders>
              <w:top w:val="single" w:color="000000" w:sz="4" w:space="0"/>
            </w:tcBorders>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经济成本指标</w:t>
            </w:r>
          </w:p>
        </w:tc>
        <w:tc>
          <w:tcPr>
            <w:tcW w:w="1017" w:type="pct"/>
            <w:tcBorders>
              <w:top w:val="single" w:color="000000" w:sz="4" w:space="0"/>
            </w:tcBorders>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5.00</w:t>
            </w:r>
          </w:p>
        </w:tc>
        <w:tc>
          <w:tcPr>
            <w:tcW w:w="453" w:type="pct"/>
            <w:tcBorders>
              <w:top w:val="single" w:color="000000" w:sz="4" w:space="0"/>
            </w:tcBorders>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5.00</w:t>
            </w:r>
          </w:p>
        </w:tc>
        <w:tc>
          <w:tcPr>
            <w:tcW w:w="453" w:type="pct"/>
            <w:tcBorders>
              <w:top w:val="single" w:color="000000" w:sz="4" w:space="0"/>
            </w:tcBorders>
            <w:shd w:val="solid" w:color="FFFFFF" w:fill="FFFFFF"/>
            <w:noWrap/>
            <w:vAlign w:val="center"/>
          </w:tcPr>
          <w:p>
            <w:pPr>
              <w:jc w:val="right"/>
              <w:rPr>
                <w:rFonts w:ascii="Times New Roman" w:hAnsi="Times New Roman" w:eastAsia="宋体" w:cs="Times New Roman"/>
                <w:color w:val="000000"/>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8" w:type="pct"/>
            <w:vMerge w:val="continue"/>
            <w:shd w:val="solid" w:color="FFFFFF" w:fill="FFFFFF"/>
            <w:vAlign w:val="center"/>
          </w:tcPr>
          <w:p>
            <w:pPr>
              <w:rPr>
                <w:rFonts w:ascii="Times New Roman" w:hAnsi="Times New Roman" w:eastAsia="宋体" w:cs="Times New Roman"/>
                <w:color w:val="000000"/>
              </w:rPr>
            </w:pPr>
          </w:p>
        </w:tc>
        <w:tc>
          <w:tcPr>
            <w:tcW w:w="1362" w:type="pct"/>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社会成本指标（5分）</w:t>
            </w:r>
          </w:p>
        </w:tc>
        <w:tc>
          <w:tcPr>
            <w:tcW w:w="1017" w:type="pct"/>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社会成本指标</w:t>
            </w:r>
          </w:p>
        </w:tc>
        <w:tc>
          <w:tcPr>
            <w:tcW w:w="1017" w:type="pct"/>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5.00</w:t>
            </w:r>
          </w:p>
        </w:tc>
        <w:tc>
          <w:tcPr>
            <w:tcW w:w="453" w:type="pct"/>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5.00</w:t>
            </w:r>
          </w:p>
        </w:tc>
        <w:tc>
          <w:tcPr>
            <w:tcW w:w="453" w:type="pct"/>
            <w:shd w:val="solid" w:color="FFFFFF" w:fill="FFFFFF"/>
            <w:noWrap/>
            <w:vAlign w:val="center"/>
          </w:tcPr>
          <w:p>
            <w:pPr>
              <w:jc w:val="right"/>
              <w:rPr>
                <w:rFonts w:ascii="Times New Roman" w:hAnsi="Times New Roman" w:eastAsia="宋体" w:cs="Times New Roman"/>
                <w:color w:val="000000"/>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CellMar>
            <w:top w:w="0" w:type="dxa"/>
            <w:left w:w="108" w:type="dxa"/>
            <w:bottom w:w="0" w:type="dxa"/>
            <w:right w:w="108" w:type="dxa"/>
          </w:tblCellMar>
        </w:tblPrEx>
        <w:trPr>
          <w:trHeight w:val="397" w:hRule="atLeast"/>
        </w:trPr>
        <w:tc>
          <w:tcPr>
            <w:tcW w:w="698" w:type="pct"/>
            <w:vMerge w:val="continue"/>
            <w:tcBorders>
              <w:bottom w:val="single" w:color="000000" w:sz="4" w:space="0"/>
            </w:tcBorders>
            <w:shd w:val="solid" w:color="FFFFFF" w:fill="FFFFFF"/>
            <w:vAlign w:val="center"/>
          </w:tcPr>
          <w:p>
            <w:pPr>
              <w:rPr>
                <w:rFonts w:ascii="Times New Roman" w:hAnsi="Times New Roman" w:eastAsia="宋体" w:cs="Times New Roman"/>
                <w:color w:val="000000"/>
              </w:rPr>
            </w:pPr>
          </w:p>
        </w:tc>
        <w:tc>
          <w:tcPr>
            <w:tcW w:w="1362" w:type="pct"/>
            <w:tcBorders>
              <w:bottom w:val="single" w:color="000000" w:sz="4" w:space="0"/>
            </w:tcBorders>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生态环境指标（5分）</w:t>
            </w:r>
          </w:p>
        </w:tc>
        <w:tc>
          <w:tcPr>
            <w:tcW w:w="1017" w:type="pct"/>
            <w:tcBorders>
              <w:bottom w:val="single" w:color="000000" w:sz="4" w:space="0"/>
            </w:tcBorders>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生态环境指标</w:t>
            </w:r>
          </w:p>
        </w:tc>
        <w:tc>
          <w:tcPr>
            <w:tcW w:w="1017" w:type="pct"/>
            <w:tcBorders>
              <w:bottom w:val="single" w:color="000000" w:sz="4" w:space="0"/>
            </w:tcBorders>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5.00</w:t>
            </w:r>
          </w:p>
        </w:tc>
        <w:tc>
          <w:tcPr>
            <w:tcW w:w="453" w:type="pct"/>
            <w:tcBorders>
              <w:bottom w:val="single" w:color="000000" w:sz="4" w:space="0"/>
            </w:tcBorders>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5.00</w:t>
            </w:r>
          </w:p>
        </w:tc>
        <w:tc>
          <w:tcPr>
            <w:tcW w:w="453" w:type="pct"/>
            <w:tcBorders>
              <w:bottom w:val="single" w:color="000000" w:sz="4" w:space="0"/>
            </w:tcBorders>
            <w:shd w:val="solid" w:color="FFFFFF" w:fill="FFFFFF"/>
            <w:noWrap/>
            <w:vAlign w:val="center"/>
          </w:tcPr>
          <w:p>
            <w:pPr>
              <w:jc w:val="right"/>
              <w:rPr>
                <w:rFonts w:ascii="Times New Roman" w:hAnsi="Times New Roman" w:eastAsia="宋体" w:cs="Times New Roman"/>
                <w:color w:val="000000"/>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CellMar>
            <w:top w:w="0" w:type="dxa"/>
            <w:left w:w="108" w:type="dxa"/>
            <w:bottom w:w="0" w:type="dxa"/>
            <w:right w:w="108" w:type="dxa"/>
          </w:tblCellMar>
        </w:tblPrEx>
        <w:trPr>
          <w:trHeight w:val="397" w:hRule="atLeast"/>
        </w:trPr>
        <w:tc>
          <w:tcPr>
            <w:tcW w:w="3077" w:type="pct"/>
            <w:gridSpan w:val="3"/>
            <w:tcBorders>
              <w:top w:val="single" w:color="000000" w:sz="4" w:space="0"/>
              <w:bottom w:val="single" w:color="000000" w:sz="12" w:space="0"/>
            </w:tcBorders>
            <w:shd w:val="solid" w:color="FFFFFF" w:fill="FFFFFF"/>
            <w:noWrap/>
            <w:vAlign w:val="center"/>
          </w:tcPr>
          <w:p>
            <w:pPr>
              <w:jc w:val="center"/>
              <w:rPr>
                <w:rFonts w:ascii="Times New Roman" w:hAnsi="Times New Roman" w:eastAsia="宋体" w:cs="Times New Roman"/>
                <w:color w:val="000000"/>
              </w:rPr>
            </w:pPr>
            <w:r>
              <w:rPr>
                <w:rFonts w:hint="eastAsia" w:ascii="Times New Roman" w:hAnsi="Times New Roman" w:eastAsia="宋体" w:cs="Times New Roman"/>
                <w:color w:val="000000"/>
              </w:rPr>
              <w:t>合计</w:t>
            </w:r>
          </w:p>
        </w:tc>
        <w:tc>
          <w:tcPr>
            <w:tcW w:w="1017" w:type="pct"/>
            <w:tcBorders>
              <w:top w:val="single" w:color="000000" w:sz="4" w:space="0"/>
              <w:bottom w:val="single" w:color="000000" w:sz="12" w:space="0"/>
            </w:tcBorders>
            <w:shd w:val="solid" w:color="FFFFFF" w:fill="FFFFFF"/>
            <w:noWrap/>
            <w:vAlign w:val="center"/>
          </w:tcPr>
          <w:p>
            <w:pPr>
              <w:jc w:val="right"/>
              <w:rPr>
                <w:rFonts w:hint="eastAsia" w:ascii="Times New Roman" w:hAnsi="Times New Roman" w:eastAsia="宋体" w:cs="Times New Roman"/>
                <w:color w:val="000000"/>
              </w:rPr>
            </w:pPr>
            <w:r>
              <w:rPr>
                <w:rFonts w:ascii="Times New Roman" w:hAnsi="Times New Roman" w:eastAsia="宋体" w:cs="Times New Roman"/>
                <w:color w:val="000000"/>
              </w:rPr>
              <w:t>15.00</w:t>
            </w:r>
          </w:p>
        </w:tc>
        <w:tc>
          <w:tcPr>
            <w:tcW w:w="453" w:type="pct"/>
            <w:tcBorders>
              <w:top w:val="single" w:color="000000" w:sz="4" w:space="0"/>
              <w:bottom w:val="single" w:color="000000" w:sz="12" w:space="0"/>
            </w:tcBorders>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15.00</w:t>
            </w:r>
          </w:p>
        </w:tc>
        <w:tc>
          <w:tcPr>
            <w:tcW w:w="453" w:type="pct"/>
            <w:tcBorders>
              <w:top w:val="single" w:color="000000" w:sz="4" w:space="0"/>
              <w:bottom w:val="single" w:color="000000" w:sz="12" w:space="0"/>
            </w:tcBorders>
            <w:shd w:val="solid" w:color="FFFFFF" w:fill="FFFFFF"/>
            <w:noWrap/>
            <w:vAlign w:val="center"/>
          </w:tcPr>
          <w:p>
            <w:pPr>
              <w:jc w:val="right"/>
              <w:rPr>
                <w:rFonts w:ascii="Times New Roman" w:hAnsi="Times New Roman" w:eastAsia="宋体" w:cs="Times New Roman"/>
                <w:color w:val="000000"/>
              </w:rPr>
            </w:pPr>
          </w:p>
        </w:tc>
      </w:tr>
    </w:tbl>
    <w:p>
      <w:pPr>
        <w:pStyle w:val="10"/>
        <w:keepNext w:val="0"/>
        <w:keepLines w:val="0"/>
        <w:pageBreakBefore w:val="0"/>
        <w:widowControl/>
        <w:numPr>
          <w:ilvl w:val="1"/>
          <w:numId w:val="1"/>
        </w:numPr>
        <w:kinsoku/>
        <w:wordWrap/>
        <w:overflowPunct/>
        <w:topLinePunct w:val="0"/>
        <w:autoSpaceDE/>
        <w:autoSpaceDN/>
        <w:bidi w:val="0"/>
        <w:adjustRightInd/>
        <w:snapToGrid w:val="0"/>
        <w:ind w:firstLine="560" w:firstLineChars="200"/>
        <w:textAlignment w:val="center"/>
      </w:pPr>
      <w:r>
        <w:rPr>
          <w:rFonts w:hint="eastAsia"/>
        </w:rPr>
        <w:t>产出</w:t>
      </w:r>
    </w:p>
    <w:p>
      <w:pPr>
        <w:pStyle w:val="16"/>
        <w:rPr>
          <w:rFonts w:hint="eastAsia"/>
        </w:rPr>
      </w:pPr>
      <w:r>
        <w:rPr>
          <w:rFonts w:hint="eastAsia"/>
        </w:rPr>
        <w:t>产出指标，该指标设置总分值20分</w:t>
      </w:r>
      <w:r>
        <w:t>，评价得分20</w:t>
      </w:r>
      <w:r>
        <w:rPr>
          <w:rFonts w:hint="eastAsia"/>
        </w:rPr>
        <w:t>分</w:t>
      </w:r>
      <w:r>
        <w:t>。</w:t>
      </w:r>
    </w:p>
    <w:p>
      <w:pPr>
        <w:pStyle w:val="16"/>
        <w:widowControl w:val="0"/>
      </w:pPr>
      <w:r>
        <w:rPr>
          <w:rFonts w:hint="eastAsia"/>
        </w:rPr>
        <w:t>在数量指标方面设置分值</w:t>
      </w:r>
      <w:r>
        <w:fldChar w:fldCharType="begin"/>
      </w:r>
      <w:r>
        <w:instrText xml:space="preserve"> DOCVARIABLE "C:|Users|May|Desktop|嘉鱼发改局项目自评.xlsx||报告用表|_jds18||&amp;|分|2|D21" \* MERGEFORMAT </w:instrText>
      </w:r>
      <w:r>
        <w:fldChar w:fldCharType="separate"/>
      </w:r>
      <w:r>
        <w:rPr>
          <w:rFonts w:hint="eastAsia"/>
          <w:bCs/>
        </w:rPr>
        <w:t>5分</w:t>
      </w:r>
      <w:r>
        <w:fldChar w:fldCharType="end"/>
      </w:r>
      <w:r>
        <w:t>，评价得分</w:t>
      </w:r>
      <w:r>
        <w:fldChar w:fldCharType="begin"/>
      </w:r>
      <w:r>
        <w:instrText xml:space="preserve"> DOCVARIABLE "C:|Users|May|Desktop|嘉鱼发改局项目自评.xlsx||报告用表|_jds11||&amp;|分|2|I13" \* MERGEFORMAT </w:instrText>
      </w:r>
      <w:r>
        <w:fldChar w:fldCharType="separate"/>
      </w:r>
      <w:r>
        <w:rPr>
          <w:bCs/>
        </w:rPr>
        <w:t>5</w:t>
      </w:r>
      <w:r>
        <w:rPr>
          <w:rFonts w:hint="eastAsia"/>
          <w:bCs/>
        </w:rPr>
        <w:t>分</w:t>
      </w:r>
      <w:r>
        <w:fldChar w:fldCharType="end"/>
      </w:r>
      <w:r>
        <w:rPr>
          <w:rFonts w:hint="eastAsia"/>
        </w:rPr>
        <w:t>，县发改局合理制定监测点</w:t>
      </w:r>
      <w:r>
        <w:rPr>
          <w:rFonts w:hint="eastAsia"/>
          <w:lang w:val="en-US" w:eastAsia="zh-CN"/>
        </w:rPr>
        <w:t>12</w:t>
      </w:r>
      <w:r>
        <w:t>个</w:t>
      </w:r>
      <w:r>
        <w:rPr>
          <w:rFonts w:hint="eastAsia"/>
          <w:lang w:eastAsia="zh-CN"/>
        </w:rPr>
        <w:t>，</w:t>
      </w:r>
      <w:r>
        <w:rPr>
          <w:rFonts w:hint="eastAsia"/>
          <w:lang w:val="en-US" w:eastAsia="zh-CN"/>
        </w:rPr>
        <w:t>超过年初预计的10个</w:t>
      </w:r>
      <w:r>
        <w:rPr>
          <w:rFonts w:hint="eastAsia"/>
        </w:rPr>
        <w:t>。在质量指标方面设置分值</w:t>
      </w:r>
      <w:r>
        <w:fldChar w:fldCharType="begin"/>
      </w:r>
      <w:r>
        <w:instrText xml:space="preserve"> DOCVARIABLE "C:|Users|May|Desktop|嘉鱼发改局项目自评.xlsx||报告用表|_jds18||&amp;|分|2|D21" \* MERGEFORMAT </w:instrText>
      </w:r>
      <w:r>
        <w:fldChar w:fldCharType="separate"/>
      </w:r>
      <w:r>
        <w:rPr>
          <w:bCs/>
        </w:rPr>
        <w:t>10</w:t>
      </w:r>
      <w:r>
        <w:rPr>
          <w:rFonts w:hint="eastAsia"/>
          <w:bCs/>
        </w:rPr>
        <w:t>分</w:t>
      </w:r>
      <w:r>
        <w:fldChar w:fldCharType="end"/>
      </w:r>
      <w:r>
        <w:t>，评价得分</w:t>
      </w:r>
      <w:r>
        <w:fldChar w:fldCharType="begin"/>
      </w:r>
      <w:r>
        <w:instrText xml:space="preserve"> DOCVARIABLE "C:|Users|May|Desktop|嘉鱼发改局项目自评.xlsx||报告用表|_jds11||&amp;|分|2|I13" \* MERGEFORMAT </w:instrText>
      </w:r>
      <w:r>
        <w:fldChar w:fldCharType="separate"/>
      </w:r>
      <w:r>
        <w:rPr>
          <w:bCs/>
        </w:rPr>
        <w:t>10</w:t>
      </w:r>
      <w:r>
        <w:rPr>
          <w:rFonts w:hint="eastAsia"/>
          <w:bCs/>
        </w:rPr>
        <w:t>分</w:t>
      </w:r>
      <w:r>
        <w:fldChar w:fldCharType="end"/>
      </w:r>
      <w:r>
        <w:rPr>
          <w:rFonts w:hint="eastAsia"/>
        </w:rPr>
        <w:t>，项目当年验收合格</w:t>
      </w:r>
      <w:r>
        <w:t>100%</w:t>
      </w:r>
      <w:r>
        <w:rPr>
          <w:rFonts w:hint="eastAsia"/>
        </w:rPr>
        <w:t>，当年完工率</w:t>
      </w:r>
      <w:r>
        <w:t>100%</w:t>
      </w:r>
      <w:r>
        <w:rPr>
          <w:rFonts w:hint="eastAsia"/>
        </w:rPr>
        <w:t>。在时效指标方面设置分值</w:t>
      </w:r>
      <w:r>
        <w:fldChar w:fldCharType="begin"/>
      </w:r>
      <w:r>
        <w:instrText xml:space="preserve"> DOCVARIABLE "C:|Users|May|Desktop|嘉鱼发改局项目自评.xlsx||报告用表|_jds18||&amp;|分|2|D21" \* MERGEFORMAT </w:instrText>
      </w:r>
      <w:r>
        <w:fldChar w:fldCharType="separate"/>
      </w:r>
      <w:r>
        <w:rPr>
          <w:rFonts w:hint="eastAsia"/>
          <w:bCs/>
        </w:rPr>
        <w:t>5分</w:t>
      </w:r>
      <w:r>
        <w:fldChar w:fldCharType="end"/>
      </w:r>
      <w:r>
        <w:t>，评价得分</w:t>
      </w:r>
      <w:r>
        <w:fldChar w:fldCharType="begin"/>
      </w:r>
      <w:r>
        <w:instrText xml:space="preserve"> DOCVARIABLE "C:|Users|May|Desktop|嘉鱼发改局项目自评.xlsx||报告用表|_jds11||&amp;|分|2|I13" \* MERGEFORMAT </w:instrText>
      </w:r>
      <w:r>
        <w:fldChar w:fldCharType="separate"/>
      </w:r>
      <w:r>
        <w:rPr>
          <w:bCs/>
        </w:rPr>
        <w:t>5</w:t>
      </w:r>
      <w:r>
        <w:rPr>
          <w:rFonts w:hint="eastAsia"/>
          <w:bCs/>
        </w:rPr>
        <w:t>分</w:t>
      </w:r>
      <w:r>
        <w:fldChar w:fldCharType="end"/>
      </w:r>
      <w:r>
        <w:rPr>
          <w:rFonts w:hint="eastAsia"/>
        </w:rPr>
        <w:t>，</w:t>
      </w:r>
      <w:r>
        <w:rPr>
          <w:rFonts w:hint="eastAsia"/>
          <w:lang w:val="en-US" w:eastAsia="zh-CN"/>
        </w:rPr>
        <w:t>实现</w:t>
      </w:r>
      <w:r>
        <w:rPr>
          <w:rFonts w:hint="eastAsia"/>
        </w:rPr>
        <w:t>年度完成相关工作率</w:t>
      </w:r>
      <w:r>
        <w:t>00%</w:t>
      </w:r>
      <w:r>
        <w:rPr>
          <w:rFonts w:hint="eastAsia"/>
        </w:rPr>
        <w:t>。该项指标具体评分结果如下：</w:t>
      </w:r>
    </w:p>
    <w:tbl>
      <w:tblPr>
        <w:tblStyle w:val="5"/>
        <w:tblW w:w="5000" w:type="pct"/>
        <w:tblCaption w:val="C:\Users\May\Desktop|嘉鱼发改局项目自评.xlsx|报告用表|_jds21|0|desc|||0|1"/>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Layout w:type="autofit"/>
        <w:tblCellMar>
          <w:top w:w="0" w:type="dxa"/>
          <w:left w:w="108" w:type="dxa"/>
          <w:bottom w:w="0" w:type="dxa"/>
          <w:right w:w="108" w:type="dxa"/>
        </w:tblCellMar>
      </w:tblPr>
      <w:tblGrid>
        <w:gridCol w:w="1920"/>
        <w:gridCol w:w="1920"/>
        <w:gridCol w:w="2489"/>
        <w:gridCol w:w="733"/>
        <w:gridCol w:w="733"/>
        <w:gridCol w:w="73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CellMar>
            <w:top w:w="0" w:type="dxa"/>
            <w:left w:w="108" w:type="dxa"/>
            <w:bottom w:w="0" w:type="dxa"/>
            <w:right w:w="108" w:type="dxa"/>
          </w:tblCellMar>
        </w:tblPrEx>
        <w:trPr>
          <w:trHeight w:val="397" w:hRule="atLeast"/>
          <w:tblHeader/>
        </w:trPr>
        <w:tc>
          <w:tcPr>
            <w:tcW w:w="1125" w:type="pct"/>
            <w:tcBorders>
              <w:top w:val="single" w:color="000000" w:sz="12" w:space="0"/>
              <w:bottom w:val="single" w:color="000000" w:sz="4" w:space="0"/>
            </w:tcBorders>
            <w:shd w:val="solid" w:color="FFFFFF" w:fill="FFFFFF"/>
            <w:noWrap/>
            <w:vAlign w:val="center"/>
          </w:tcPr>
          <w:p>
            <w:pPr>
              <w:widowControl/>
              <w:jc w:val="left"/>
              <w:rPr>
                <w:rFonts w:ascii="Times New Roman" w:hAnsi="Times New Roman" w:eastAsia="宋体" w:cs="Times New Roman"/>
                <w:color w:val="000000"/>
              </w:rPr>
            </w:pPr>
            <w:r>
              <w:rPr>
                <w:rFonts w:ascii="Times New Roman" w:hAnsi="Times New Roman" w:eastAsia="宋体" w:cs="Times New Roman"/>
                <w:color w:val="000000"/>
              </w:rPr>
              <w:t xml:space="preserve">一级指标 </w:t>
            </w:r>
          </w:p>
        </w:tc>
        <w:tc>
          <w:tcPr>
            <w:tcW w:w="1125" w:type="pct"/>
            <w:tcBorders>
              <w:top w:val="single" w:color="000000" w:sz="12" w:space="0"/>
              <w:bottom w:val="single" w:color="000000" w:sz="4" w:space="0"/>
            </w:tcBorders>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 xml:space="preserve"> 二级指标 </w:t>
            </w:r>
          </w:p>
        </w:tc>
        <w:tc>
          <w:tcPr>
            <w:tcW w:w="1456" w:type="pct"/>
            <w:tcBorders>
              <w:top w:val="single" w:color="000000" w:sz="12" w:space="0"/>
              <w:bottom w:val="single" w:color="000000" w:sz="4" w:space="0"/>
            </w:tcBorders>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 xml:space="preserve"> 三级指标 </w:t>
            </w:r>
          </w:p>
        </w:tc>
        <w:tc>
          <w:tcPr>
            <w:tcW w:w="431" w:type="pct"/>
            <w:tcBorders>
              <w:top w:val="single" w:color="000000" w:sz="12" w:space="0"/>
              <w:bottom w:val="single" w:color="000000" w:sz="4" w:space="0"/>
            </w:tcBorders>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 xml:space="preserve"> 分值</w:t>
            </w:r>
          </w:p>
        </w:tc>
        <w:tc>
          <w:tcPr>
            <w:tcW w:w="431" w:type="pct"/>
            <w:tcBorders>
              <w:top w:val="single" w:color="000000" w:sz="12" w:space="0"/>
              <w:bottom w:val="single" w:color="000000" w:sz="4" w:space="0"/>
            </w:tcBorders>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 xml:space="preserve"> 得分</w:t>
            </w:r>
          </w:p>
        </w:tc>
        <w:tc>
          <w:tcPr>
            <w:tcW w:w="431" w:type="pct"/>
            <w:tcBorders>
              <w:top w:val="single" w:color="000000" w:sz="12" w:space="0"/>
              <w:bottom w:val="single" w:color="000000" w:sz="4" w:space="0"/>
            </w:tcBorders>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 xml:space="preserve"> 扣分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CellMar>
            <w:top w:w="0" w:type="dxa"/>
            <w:left w:w="108" w:type="dxa"/>
            <w:bottom w:w="0" w:type="dxa"/>
            <w:right w:w="108" w:type="dxa"/>
          </w:tblCellMar>
        </w:tblPrEx>
        <w:trPr>
          <w:trHeight w:val="397" w:hRule="atLeast"/>
        </w:trPr>
        <w:tc>
          <w:tcPr>
            <w:tcW w:w="1125" w:type="pct"/>
            <w:vMerge w:val="restart"/>
            <w:tcBorders>
              <w:top w:val="single" w:color="000000" w:sz="4" w:space="0"/>
            </w:tcBorders>
            <w:shd w:val="solid" w:color="FFFFFF" w:fill="FFFFFF"/>
            <w:noWrap/>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产出指标（20分）</w:t>
            </w:r>
          </w:p>
        </w:tc>
        <w:tc>
          <w:tcPr>
            <w:tcW w:w="1125" w:type="pct"/>
            <w:tcBorders>
              <w:top w:val="single" w:color="000000" w:sz="4" w:space="0"/>
            </w:tcBorders>
            <w:shd w:val="solid" w:color="FFFFFF" w:fill="FFFFFF"/>
            <w:noWrap/>
            <w:vAlign w:val="center"/>
          </w:tcPr>
          <w:p>
            <w:pPr>
              <w:jc w:val="left"/>
              <w:rPr>
                <w:rFonts w:ascii="Times New Roman" w:hAnsi="Times New Roman" w:eastAsia="宋体" w:cs="Times New Roman"/>
                <w:color w:val="000000"/>
              </w:rPr>
            </w:pPr>
            <w:r>
              <w:rPr>
                <w:rFonts w:ascii="Times New Roman" w:hAnsi="Times New Roman" w:eastAsia="宋体" w:cs="Times New Roman"/>
                <w:color w:val="000000"/>
              </w:rPr>
              <w:t>数量指标（5分）</w:t>
            </w:r>
          </w:p>
        </w:tc>
        <w:tc>
          <w:tcPr>
            <w:tcW w:w="1456" w:type="pct"/>
            <w:tcBorders>
              <w:top w:val="single" w:color="000000" w:sz="4" w:space="0"/>
            </w:tcBorders>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合理制定监测点</w:t>
            </w:r>
          </w:p>
        </w:tc>
        <w:tc>
          <w:tcPr>
            <w:tcW w:w="431" w:type="pct"/>
            <w:tcBorders>
              <w:top w:val="single" w:color="000000" w:sz="4" w:space="0"/>
            </w:tcBorders>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5.00</w:t>
            </w:r>
          </w:p>
        </w:tc>
        <w:tc>
          <w:tcPr>
            <w:tcW w:w="431" w:type="pct"/>
            <w:tcBorders>
              <w:top w:val="single" w:color="000000" w:sz="4" w:space="0"/>
            </w:tcBorders>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5.00</w:t>
            </w:r>
          </w:p>
        </w:tc>
        <w:tc>
          <w:tcPr>
            <w:tcW w:w="431" w:type="pct"/>
            <w:tcBorders>
              <w:top w:val="single" w:color="000000" w:sz="4" w:space="0"/>
            </w:tcBorders>
            <w:shd w:val="solid" w:color="FFFFFF" w:fill="FFFFFF"/>
            <w:noWrap/>
            <w:vAlign w:val="center"/>
          </w:tcPr>
          <w:p>
            <w:pPr>
              <w:jc w:val="right"/>
              <w:rPr>
                <w:rFonts w:ascii="Times New Roman" w:hAnsi="Times New Roman" w:eastAsia="宋体" w:cs="Times New Roman"/>
                <w:color w:val="000000"/>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CellMar>
            <w:top w:w="0" w:type="dxa"/>
            <w:left w:w="108" w:type="dxa"/>
            <w:bottom w:w="0" w:type="dxa"/>
            <w:right w:w="108" w:type="dxa"/>
          </w:tblCellMar>
        </w:tblPrEx>
        <w:trPr>
          <w:trHeight w:val="397" w:hRule="atLeast"/>
        </w:trPr>
        <w:tc>
          <w:tcPr>
            <w:tcW w:w="1125" w:type="pct"/>
            <w:vMerge w:val="continue"/>
            <w:shd w:val="solid" w:color="FFFFFF" w:fill="FFFFFF"/>
            <w:vAlign w:val="center"/>
          </w:tcPr>
          <w:p>
            <w:pPr>
              <w:rPr>
                <w:rFonts w:ascii="Times New Roman" w:hAnsi="Times New Roman" w:eastAsia="宋体" w:cs="Times New Roman"/>
                <w:color w:val="000000"/>
              </w:rPr>
            </w:pPr>
          </w:p>
        </w:tc>
        <w:tc>
          <w:tcPr>
            <w:tcW w:w="1125" w:type="pct"/>
            <w:vMerge w:val="restart"/>
            <w:shd w:val="solid" w:color="FFFFFF" w:fill="FFFFFF"/>
            <w:noWrap/>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质量指标（10分）</w:t>
            </w:r>
          </w:p>
        </w:tc>
        <w:tc>
          <w:tcPr>
            <w:tcW w:w="1456" w:type="pct"/>
            <w:shd w:val="solid" w:color="FFFFFF" w:fill="FFFFFF"/>
            <w:noWrap/>
            <w:vAlign w:val="center"/>
          </w:tcPr>
          <w:p>
            <w:pPr>
              <w:jc w:val="left"/>
              <w:rPr>
                <w:rFonts w:ascii="Times New Roman" w:hAnsi="Times New Roman" w:eastAsia="宋体" w:cs="Times New Roman"/>
                <w:color w:val="000000"/>
              </w:rPr>
            </w:pPr>
            <w:r>
              <w:rPr>
                <w:rFonts w:ascii="Times New Roman" w:hAnsi="Times New Roman" w:eastAsia="宋体" w:cs="Times New Roman"/>
                <w:color w:val="000000"/>
              </w:rPr>
              <w:t>当年项目验收合格</w:t>
            </w:r>
          </w:p>
        </w:tc>
        <w:tc>
          <w:tcPr>
            <w:tcW w:w="431" w:type="pct"/>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5.00</w:t>
            </w:r>
          </w:p>
        </w:tc>
        <w:tc>
          <w:tcPr>
            <w:tcW w:w="431" w:type="pct"/>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5.00</w:t>
            </w:r>
          </w:p>
        </w:tc>
        <w:tc>
          <w:tcPr>
            <w:tcW w:w="431" w:type="pct"/>
            <w:shd w:val="solid" w:color="FFFFFF" w:fill="FFFFFF"/>
            <w:noWrap/>
            <w:vAlign w:val="center"/>
          </w:tcPr>
          <w:p>
            <w:pPr>
              <w:jc w:val="right"/>
              <w:rPr>
                <w:rFonts w:ascii="Times New Roman" w:hAnsi="Times New Roman" w:eastAsia="宋体" w:cs="Times New Roman"/>
                <w:color w:val="000000"/>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CellMar>
            <w:top w:w="0" w:type="dxa"/>
            <w:left w:w="108" w:type="dxa"/>
            <w:bottom w:w="0" w:type="dxa"/>
            <w:right w:w="108" w:type="dxa"/>
          </w:tblCellMar>
        </w:tblPrEx>
        <w:trPr>
          <w:trHeight w:val="397" w:hRule="atLeast"/>
        </w:trPr>
        <w:tc>
          <w:tcPr>
            <w:tcW w:w="1125" w:type="pct"/>
            <w:vMerge w:val="continue"/>
            <w:shd w:val="solid" w:color="FFFFFF" w:fill="FFFFFF"/>
            <w:vAlign w:val="center"/>
          </w:tcPr>
          <w:p>
            <w:pPr>
              <w:rPr>
                <w:rFonts w:ascii="Times New Roman" w:hAnsi="Times New Roman" w:eastAsia="宋体" w:cs="Times New Roman"/>
                <w:color w:val="000000"/>
              </w:rPr>
            </w:pPr>
          </w:p>
        </w:tc>
        <w:tc>
          <w:tcPr>
            <w:tcW w:w="1125" w:type="pct"/>
            <w:vMerge w:val="continue"/>
            <w:shd w:val="solid" w:color="FFFFFF" w:fill="FFFFFF"/>
            <w:vAlign w:val="center"/>
          </w:tcPr>
          <w:p>
            <w:pPr>
              <w:rPr>
                <w:rFonts w:ascii="Times New Roman" w:hAnsi="Times New Roman" w:eastAsia="宋体" w:cs="Times New Roman"/>
                <w:color w:val="000000"/>
              </w:rPr>
            </w:pPr>
          </w:p>
        </w:tc>
        <w:tc>
          <w:tcPr>
            <w:tcW w:w="1456" w:type="pct"/>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当年完工率</w:t>
            </w:r>
          </w:p>
        </w:tc>
        <w:tc>
          <w:tcPr>
            <w:tcW w:w="431" w:type="pct"/>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5.00</w:t>
            </w:r>
          </w:p>
        </w:tc>
        <w:tc>
          <w:tcPr>
            <w:tcW w:w="431" w:type="pct"/>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5.00</w:t>
            </w:r>
          </w:p>
        </w:tc>
        <w:tc>
          <w:tcPr>
            <w:tcW w:w="431" w:type="pct"/>
            <w:shd w:val="solid" w:color="FFFFFF" w:fill="FFFFFF"/>
            <w:noWrap/>
            <w:vAlign w:val="center"/>
          </w:tcPr>
          <w:p>
            <w:pPr>
              <w:jc w:val="right"/>
              <w:rPr>
                <w:rFonts w:ascii="Times New Roman" w:hAnsi="Times New Roman" w:eastAsia="宋体" w:cs="Times New Roman"/>
                <w:color w:val="000000"/>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CellMar>
            <w:top w:w="0" w:type="dxa"/>
            <w:left w:w="108" w:type="dxa"/>
            <w:bottom w:w="0" w:type="dxa"/>
            <w:right w:w="108" w:type="dxa"/>
          </w:tblCellMar>
        </w:tblPrEx>
        <w:trPr>
          <w:trHeight w:val="397" w:hRule="atLeast"/>
        </w:trPr>
        <w:tc>
          <w:tcPr>
            <w:tcW w:w="1125" w:type="pct"/>
            <w:vMerge w:val="continue"/>
            <w:tcBorders>
              <w:bottom w:val="single" w:color="000000" w:sz="4" w:space="0"/>
            </w:tcBorders>
            <w:shd w:val="solid" w:color="FFFFFF" w:fill="FFFFFF"/>
            <w:vAlign w:val="center"/>
          </w:tcPr>
          <w:p>
            <w:pPr>
              <w:rPr>
                <w:rFonts w:ascii="Times New Roman" w:hAnsi="Times New Roman" w:eastAsia="宋体" w:cs="Times New Roman"/>
                <w:color w:val="000000"/>
              </w:rPr>
            </w:pPr>
          </w:p>
        </w:tc>
        <w:tc>
          <w:tcPr>
            <w:tcW w:w="1125" w:type="pct"/>
            <w:tcBorders>
              <w:bottom w:val="single" w:color="000000" w:sz="4" w:space="0"/>
            </w:tcBorders>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时效指标（5分）</w:t>
            </w:r>
          </w:p>
        </w:tc>
        <w:tc>
          <w:tcPr>
            <w:tcW w:w="1456" w:type="pct"/>
            <w:tcBorders>
              <w:bottom w:val="single" w:color="000000" w:sz="4" w:space="0"/>
            </w:tcBorders>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年度完成相关工作完成率</w:t>
            </w:r>
          </w:p>
        </w:tc>
        <w:tc>
          <w:tcPr>
            <w:tcW w:w="431" w:type="pct"/>
            <w:tcBorders>
              <w:bottom w:val="single" w:color="000000" w:sz="4" w:space="0"/>
            </w:tcBorders>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5.00</w:t>
            </w:r>
          </w:p>
        </w:tc>
        <w:tc>
          <w:tcPr>
            <w:tcW w:w="431" w:type="pct"/>
            <w:tcBorders>
              <w:bottom w:val="single" w:color="000000" w:sz="4" w:space="0"/>
            </w:tcBorders>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5.00</w:t>
            </w:r>
          </w:p>
        </w:tc>
        <w:tc>
          <w:tcPr>
            <w:tcW w:w="431" w:type="pct"/>
            <w:tcBorders>
              <w:bottom w:val="single" w:color="000000" w:sz="4" w:space="0"/>
            </w:tcBorders>
            <w:shd w:val="solid" w:color="FFFFFF" w:fill="FFFFFF"/>
            <w:noWrap/>
            <w:vAlign w:val="center"/>
          </w:tcPr>
          <w:p>
            <w:pPr>
              <w:jc w:val="right"/>
              <w:rPr>
                <w:rFonts w:ascii="Times New Roman" w:hAnsi="Times New Roman" w:eastAsia="宋体" w:cs="Times New Roman"/>
                <w:color w:val="000000"/>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CellMar>
            <w:top w:w="0" w:type="dxa"/>
            <w:left w:w="108" w:type="dxa"/>
            <w:bottom w:w="0" w:type="dxa"/>
            <w:right w:w="108" w:type="dxa"/>
          </w:tblCellMar>
        </w:tblPrEx>
        <w:trPr>
          <w:trHeight w:val="397" w:hRule="atLeast"/>
        </w:trPr>
        <w:tc>
          <w:tcPr>
            <w:tcW w:w="3706" w:type="pct"/>
            <w:gridSpan w:val="3"/>
            <w:tcBorders>
              <w:top w:val="single" w:color="000000" w:sz="4" w:space="0"/>
              <w:bottom w:val="single" w:color="000000" w:sz="12" w:space="0"/>
            </w:tcBorders>
            <w:shd w:val="solid" w:color="FFFFFF" w:fill="FFFFFF"/>
            <w:noWrap/>
            <w:vAlign w:val="center"/>
          </w:tcPr>
          <w:p>
            <w:pPr>
              <w:jc w:val="center"/>
              <w:rPr>
                <w:rFonts w:ascii="Times New Roman" w:hAnsi="Times New Roman" w:eastAsia="宋体" w:cs="Times New Roman"/>
                <w:color w:val="000000"/>
              </w:rPr>
            </w:pPr>
            <w:r>
              <w:rPr>
                <w:rFonts w:hint="eastAsia" w:ascii="Times New Roman" w:hAnsi="Times New Roman" w:eastAsia="宋体" w:cs="Times New Roman"/>
                <w:color w:val="000000"/>
              </w:rPr>
              <w:t>合计</w:t>
            </w:r>
          </w:p>
        </w:tc>
        <w:tc>
          <w:tcPr>
            <w:tcW w:w="431" w:type="pct"/>
            <w:tcBorders>
              <w:top w:val="single" w:color="000000" w:sz="4" w:space="0"/>
              <w:bottom w:val="single" w:color="000000" w:sz="12" w:space="0"/>
            </w:tcBorders>
            <w:shd w:val="solid" w:color="FFFFFF" w:fill="FFFFFF"/>
            <w:noWrap/>
            <w:vAlign w:val="center"/>
          </w:tcPr>
          <w:p>
            <w:pPr>
              <w:jc w:val="right"/>
              <w:rPr>
                <w:rFonts w:hint="eastAsia" w:ascii="Times New Roman" w:hAnsi="Times New Roman" w:eastAsia="宋体" w:cs="Times New Roman"/>
                <w:color w:val="000000"/>
              </w:rPr>
            </w:pPr>
            <w:r>
              <w:rPr>
                <w:rFonts w:ascii="Times New Roman" w:hAnsi="Times New Roman" w:eastAsia="宋体" w:cs="Times New Roman"/>
                <w:color w:val="000000"/>
              </w:rPr>
              <w:t>20.00</w:t>
            </w:r>
          </w:p>
        </w:tc>
        <w:tc>
          <w:tcPr>
            <w:tcW w:w="431" w:type="pct"/>
            <w:tcBorders>
              <w:top w:val="single" w:color="000000" w:sz="4" w:space="0"/>
              <w:bottom w:val="single" w:color="000000" w:sz="12" w:space="0"/>
            </w:tcBorders>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20.00</w:t>
            </w:r>
          </w:p>
        </w:tc>
        <w:tc>
          <w:tcPr>
            <w:tcW w:w="431" w:type="pct"/>
            <w:tcBorders>
              <w:top w:val="single" w:color="000000" w:sz="4" w:space="0"/>
              <w:bottom w:val="single" w:color="000000" w:sz="12" w:space="0"/>
            </w:tcBorders>
            <w:shd w:val="solid" w:color="FFFFFF" w:fill="FFFFFF"/>
            <w:noWrap/>
            <w:vAlign w:val="center"/>
          </w:tcPr>
          <w:p>
            <w:pPr>
              <w:jc w:val="right"/>
              <w:rPr>
                <w:rFonts w:ascii="Times New Roman" w:hAnsi="Times New Roman" w:eastAsia="宋体" w:cs="Times New Roman"/>
                <w:color w:val="000000"/>
              </w:rPr>
            </w:pPr>
          </w:p>
        </w:tc>
      </w:tr>
    </w:tbl>
    <w:p>
      <w:pPr>
        <w:pStyle w:val="10"/>
        <w:keepNext w:val="0"/>
        <w:keepLines w:val="0"/>
        <w:pageBreakBefore w:val="0"/>
        <w:widowControl/>
        <w:numPr>
          <w:ilvl w:val="1"/>
          <w:numId w:val="1"/>
        </w:numPr>
        <w:kinsoku/>
        <w:wordWrap/>
        <w:overflowPunct/>
        <w:topLinePunct w:val="0"/>
        <w:autoSpaceDE/>
        <w:autoSpaceDN/>
        <w:bidi w:val="0"/>
        <w:adjustRightInd/>
        <w:snapToGrid w:val="0"/>
        <w:ind w:firstLine="560" w:firstLineChars="200"/>
        <w:textAlignment w:val="center"/>
      </w:pPr>
      <w:r>
        <w:rPr>
          <w:rFonts w:hint="eastAsia"/>
        </w:rPr>
        <w:t>效益</w:t>
      </w:r>
    </w:p>
    <w:p>
      <w:pPr>
        <w:pStyle w:val="16"/>
        <w:rPr>
          <w:rFonts w:hint="eastAsia"/>
        </w:rPr>
      </w:pPr>
      <w:r>
        <w:rPr>
          <w:rFonts w:hint="eastAsia"/>
        </w:rPr>
        <w:t>效益指标，该指标设置总分值25分</w:t>
      </w:r>
      <w:r>
        <w:t>，评价得分25</w:t>
      </w:r>
      <w:r>
        <w:rPr>
          <w:rFonts w:hint="eastAsia"/>
        </w:rPr>
        <w:t>分</w:t>
      </w:r>
      <w:r>
        <w:t>。</w:t>
      </w:r>
    </w:p>
    <w:p>
      <w:pPr>
        <w:pStyle w:val="16"/>
      </w:pPr>
      <w:r>
        <w:rPr>
          <w:rFonts w:hint="eastAsia"/>
        </w:rPr>
        <w:t>在经济效益方面设置分值</w:t>
      </w:r>
      <w:r>
        <w:fldChar w:fldCharType="begin"/>
      </w:r>
      <w:r>
        <w:instrText xml:space="preserve"> DOCVARIABLE "C:|Users|May|Desktop|嘉鱼发改局项目自评.xlsx||报告用表|_jds18||&amp;|分|2|D21" \* MERGEFORMAT </w:instrText>
      </w:r>
      <w:r>
        <w:fldChar w:fldCharType="separate"/>
      </w:r>
      <w:r>
        <w:rPr>
          <w:rFonts w:hint="eastAsia"/>
          <w:bCs/>
        </w:rPr>
        <w:t>5分</w:t>
      </w:r>
      <w:r>
        <w:fldChar w:fldCharType="end"/>
      </w:r>
      <w:r>
        <w:t>，评价得分</w:t>
      </w:r>
      <w:r>
        <w:fldChar w:fldCharType="begin"/>
      </w:r>
      <w:r>
        <w:instrText xml:space="preserve"> DOCVARIABLE "C:|Users|May|Desktop|嘉鱼发改局项目自评.xlsx||报告用表|_jds11||&amp;|分|2|I13" \* MERGEFORMAT </w:instrText>
      </w:r>
      <w:r>
        <w:fldChar w:fldCharType="separate"/>
      </w:r>
      <w:r>
        <w:rPr>
          <w:bCs/>
        </w:rPr>
        <w:t>5</w:t>
      </w:r>
      <w:r>
        <w:rPr>
          <w:rFonts w:hint="eastAsia"/>
          <w:bCs/>
        </w:rPr>
        <w:t>分</w:t>
      </w:r>
      <w:r>
        <w:fldChar w:fldCharType="end"/>
      </w:r>
      <w:r>
        <w:rPr>
          <w:rFonts w:hint="eastAsia"/>
        </w:rPr>
        <w:t>，项目经济效益指标达标。在社会效益方面设置分值</w:t>
      </w:r>
      <w:r>
        <w:fldChar w:fldCharType="begin"/>
      </w:r>
      <w:r>
        <w:instrText xml:space="preserve"> DOCVARIABLE "C:|Users|May|Desktop|嘉鱼发改局项目自评.xlsx||报告用表|_jds18||&amp;|分|2|D21" \* MERGEFORMAT </w:instrText>
      </w:r>
      <w:r>
        <w:fldChar w:fldCharType="separate"/>
      </w:r>
      <w:r>
        <w:rPr>
          <w:bCs/>
        </w:rPr>
        <w:t>10</w:t>
      </w:r>
      <w:r>
        <w:rPr>
          <w:rFonts w:hint="eastAsia"/>
          <w:bCs/>
        </w:rPr>
        <w:t>分</w:t>
      </w:r>
      <w:r>
        <w:fldChar w:fldCharType="end"/>
      </w:r>
      <w:r>
        <w:t>，评价得分</w:t>
      </w:r>
      <w:r>
        <w:fldChar w:fldCharType="begin"/>
      </w:r>
      <w:r>
        <w:instrText xml:space="preserve"> DOCVARIABLE "C:|Users|May|Desktop|嘉鱼发改局项目自评.xlsx||报告用表|_jds11||&amp;|分|2|I13" \* MERGEFORMAT </w:instrText>
      </w:r>
      <w:r>
        <w:fldChar w:fldCharType="separate"/>
      </w:r>
      <w:r>
        <w:rPr>
          <w:bCs/>
        </w:rPr>
        <w:t>10</w:t>
      </w:r>
      <w:r>
        <w:rPr>
          <w:rFonts w:hint="eastAsia"/>
          <w:bCs/>
        </w:rPr>
        <w:t>分</w:t>
      </w:r>
      <w:r>
        <w:fldChar w:fldCharType="end"/>
      </w:r>
      <w:r>
        <w:rPr>
          <w:rFonts w:hint="eastAsia"/>
        </w:rPr>
        <w:t>，项目当年安全储粮比例</w:t>
      </w:r>
      <w:r>
        <w:rPr>
          <w:rFonts w:hint="eastAsia"/>
          <w:lang w:val="en-US" w:eastAsia="zh-CN"/>
        </w:rPr>
        <w:t>达到99%</w:t>
      </w:r>
      <w:r>
        <w:rPr>
          <w:rFonts w:hint="eastAsia"/>
        </w:rPr>
        <w:t>，</w:t>
      </w:r>
      <w:r>
        <w:rPr>
          <w:rFonts w:hint="eastAsia"/>
          <w:lang w:val="en-US" w:eastAsia="zh-CN"/>
        </w:rPr>
        <w:t>超过预计的95%，</w:t>
      </w:r>
      <w:r>
        <w:rPr>
          <w:rFonts w:hint="eastAsia"/>
        </w:rPr>
        <w:t>调查数据正确率</w:t>
      </w:r>
      <w:r>
        <w:rPr>
          <w:rFonts w:hint="eastAsia"/>
          <w:lang w:val="en-US" w:eastAsia="zh-CN"/>
        </w:rPr>
        <w:t>95%，超过年初预计的90%</w:t>
      </w:r>
      <w:r>
        <w:rPr>
          <w:rFonts w:hint="eastAsia"/>
        </w:rPr>
        <w:t>。在生态效益指标方面设置分值</w:t>
      </w:r>
      <w:r>
        <w:fldChar w:fldCharType="begin"/>
      </w:r>
      <w:r>
        <w:instrText xml:space="preserve"> DOCVARIABLE "C:|Users|May|Desktop|嘉鱼发改局项目自评.xlsx||报告用表|_jds18||&amp;|分|2|D21" \* MERGEFORMAT </w:instrText>
      </w:r>
      <w:r>
        <w:fldChar w:fldCharType="separate"/>
      </w:r>
      <w:r>
        <w:rPr>
          <w:rFonts w:hint="eastAsia"/>
          <w:bCs/>
        </w:rPr>
        <w:t>5分</w:t>
      </w:r>
      <w:r>
        <w:fldChar w:fldCharType="end"/>
      </w:r>
      <w:r>
        <w:t>，评价得分</w:t>
      </w:r>
      <w:r>
        <w:fldChar w:fldCharType="begin"/>
      </w:r>
      <w:r>
        <w:instrText xml:space="preserve"> DOCVARIABLE "C:|Users|May|Desktop|嘉鱼发改局项目自评.xlsx||报告用表|_jds11||&amp;|分|2|I13" \* MERGEFORMAT </w:instrText>
      </w:r>
      <w:r>
        <w:fldChar w:fldCharType="separate"/>
      </w:r>
      <w:r>
        <w:rPr>
          <w:bCs/>
        </w:rPr>
        <w:t>5</w:t>
      </w:r>
      <w:r>
        <w:rPr>
          <w:rFonts w:hint="eastAsia"/>
          <w:bCs/>
        </w:rPr>
        <w:t>分</w:t>
      </w:r>
      <w:r>
        <w:fldChar w:fldCharType="end"/>
      </w:r>
      <w:r>
        <w:rPr>
          <w:rFonts w:hint="eastAsia"/>
        </w:rPr>
        <w:t>，项目生态效益指标达标。在</w:t>
      </w:r>
      <w:r>
        <w:t>服务对象满意度</w:t>
      </w:r>
      <w:r>
        <w:rPr>
          <w:rFonts w:hint="eastAsia"/>
        </w:rPr>
        <w:t>方面设置分值</w:t>
      </w:r>
      <w:r>
        <w:fldChar w:fldCharType="begin"/>
      </w:r>
      <w:r>
        <w:instrText xml:space="preserve"> DOCVARIABLE "C:|Users|May|Desktop|嘉鱼发改局项目自评.xlsx||报告用表|_jds18||&amp;|分|2|D21" \* MERGEFORMAT </w:instrText>
      </w:r>
      <w:r>
        <w:fldChar w:fldCharType="separate"/>
      </w:r>
      <w:r>
        <w:rPr>
          <w:rFonts w:hint="eastAsia"/>
          <w:bCs/>
        </w:rPr>
        <w:t>5分</w:t>
      </w:r>
      <w:r>
        <w:fldChar w:fldCharType="end"/>
      </w:r>
      <w:r>
        <w:t>，评价得分</w:t>
      </w:r>
      <w:r>
        <w:fldChar w:fldCharType="begin"/>
      </w:r>
      <w:r>
        <w:instrText xml:space="preserve"> DOCVARIABLE "C:|Users|May|Desktop|嘉鱼发改局项目自评.xlsx||报告用表|_jds11||&amp;|分|2|I13" \* MERGEFORMAT </w:instrText>
      </w:r>
      <w:r>
        <w:fldChar w:fldCharType="separate"/>
      </w:r>
      <w:r>
        <w:rPr>
          <w:bCs/>
        </w:rPr>
        <w:t>5</w:t>
      </w:r>
      <w:r>
        <w:rPr>
          <w:rFonts w:hint="eastAsia"/>
          <w:bCs/>
        </w:rPr>
        <w:t>分</w:t>
      </w:r>
      <w:r>
        <w:fldChar w:fldCharType="end"/>
      </w:r>
      <w:r>
        <w:rPr>
          <w:rFonts w:hint="eastAsia"/>
        </w:rPr>
        <w:t>，项目</w:t>
      </w:r>
      <w:r>
        <w:t>服务对象满意度</w:t>
      </w:r>
      <w:r>
        <w:rPr>
          <w:rFonts w:hint="eastAsia"/>
        </w:rPr>
        <w:t>达标。该项指标具体评分结果如下：</w:t>
      </w:r>
    </w:p>
    <w:tbl>
      <w:tblPr>
        <w:tblStyle w:val="5"/>
        <w:tblW w:w="5000" w:type="pct"/>
        <w:tblCaption w:val="C:\Users\May\Desktop|嘉鱼发改局项目自评.xlsx|报告用表|_jds22|0|desc|||0|1"/>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Layout w:type="autofit"/>
        <w:tblCellMar>
          <w:top w:w="0" w:type="dxa"/>
          <w:left w:w="108" w:type="dxa"/>
          <w:bottom w:w="0" w:type="dxa"/>
          <w:right w:w="108" w:type="dxa"/>
        </w:tblCellMar>
      </w:tblPr>
      <w:tblGrid>
        <w:gridCol w:w="1945"/>
        <w:gridCol w:w="2470"/>
        <w:gridCol w:w="1893"/>
        <w:gridCol w:w="740"/>
        <w:gridCol w:w="740"/>
        <w:gridCol w:w="74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CellMar>
            <w:top w:w="0" w:type="dxa"/>
            <w:left w:w="108" w:type="dxa"/>
            <w:bottom w:w="0" w:type="dxa"/>
            <w:right w:w="108" w:type="dxa"/>
          </w:tblCellMar>
        </w:tblPrEx>
        <w:trPr>
          <w:trHeight w:val="397" w:hRule="atLeast"/>
          <w:tblHeader/>
        </w:trPr>
        <w:tc>
          <w:tcPr>
            <w:tcW w:w="1140" w:type="pct"/>
            <w:tcBorders>
              <w:top w:val="single" w:color="000000" w:sz="12" w:space="0"/>
              <w:bottom w:val="single" w:color="000000" w:sz="4" w:space="0"/>
            </w:tcBorders>
            <w:shd w:val="solid" w:color="FFFFFF" w:fill="FFFFFF"/>
            <w:noWrap/>
            <w:vAlign w:val="center"/>
          </w:tcPr>
          <w:p>
            <w:pPr>
              <w:widowControl/>
              <w:jc w:val="left"/>
              <w:rPr>
                <w:rFonts w:ascii="Times New Roman" w:hAnsi="Times New Roman" w:eastAsia="宋体" w:cs="Times New Roman"/>
                <w:color w:val="000000"/>
              </w:rPr>
            </w:pPr>
            <w:r>
              <w:rPr>
                <w:rFonts w:ascii="Times New Roman" w:hAnsi="Times New Roman" w:eastAsia="宋体" w:cs="Times New Roman"/>
                <w:color w:val="000000"/>
              </w:rPr>
              <w:t xml:space="preserve">一级指标 </w:t>
            </w:r>
          </w:p>
        </w:tc>
        <w:tc>
          <w:tcPr>
            <w:tcW w:w="1445" w:type="pct"/>
            <w:tcBorders>
              <w:top w:val="single" w:color="000000" w:sz="12" w:space="0"/>
              <w:bottom w:val="single" w:color="000000" w:sz="4" w:space="0"/>
            </w:tcBorders>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 xml:space="preserve"> 二级指标 </w:t>
            </w:r>
          </w:p>
        </w:tc>
        <w:tc>
          <w:tcPr>
            <w:tcW w:w="1109" w:type="pct"/>
            <w:tcBorders>
              <w:top w:val="single" w:color="000000" w:sz="12" w:space="0"/>
              <w:bottom w:val="single" w:color="000000" w:sz="4" w:space="0"/>
            </w:tcBorders>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 xml:space="preserve"> 三级指标 </w:t>
            </w:r>
          </w:p>
        </w:tc>
        <w:tc>
          <w:tcPr>
            <w:tcW w:w="436" w:type="pct"/>
            <w:tcBorders>
              <w:top w:val="single" w:color="000000" w:sz="12" w:space="0"/>
              <w:bottom w:val="single" w:color="000000" w:sz="4" w:space="0"/>
            </w:tcBorders>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 xml:space="preserve"> 分值</w:t>
            </w:r>
          </w:p>
        </w:tc>
        <w:tc>
          <w:tcPr>
            <w:tcW w:w="436" w:type="pct"/>
            <w:tcBorders>
              <w:top w:val="single" w:color="000000" w:sz="12" w:space="0"/>
              <w:bottom w:val="single" w:color="000000" w:sz="4" w:space="0"/>
            </w:tcBorders>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 xml:space="preserve"> 得分</w:t>
            </w:r>
          </w:p>
        </w:tc>
        <w:tc>
          <w:tcPr>
            <w:tcW w:w="436" w:type="pct"/>
            <w:tcBorders>
              <w:top w:val="single" w:color="000000" w:sz="12" w:space="0"/>
              <w:bottom w:val="single" w:color="000000" w:sz="4" w:space="0"/>
            </w:tcBorders>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 xml:space="preserve"> 扣分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CellMar>
            <w:top w:w="0" w:type="dxa"/>
            <w:left w:w="108" w:type="dxa"/>
            <w:bottom w:w="0" w:type="dxa"/>
            <w:right w:w="108" w:type="dxa"/>
          </w:tblCellMar>
        </w:tblPrEx>
        <w:trPr>
          <w:trHeight w:val="397" w:hRule="atLeast"/>
        </w:trPr>
        <w:tc>
          <w:tcPr>
            <w:tcW w:w="1140" w:type="pct"/>
            <w:vMerge w:val="restart"/>
            <w:tcBorders>
              <w:top w:val="single" w:color="000000" w:sz="4" w:space="0"/>
            </w:tcBorders>
            <w:shd w:val="solid" w:color="FFFFFF" w:fill="FFFFFF"/>
            <w:noWrap/>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效益指标（25分）</w:t>
            </w:r>
          </w:p>
        </w:tc>
        <w:tc>
          <w:tcPr>
            <w:tcW w:w="1445" w:type="pct"/>
            <w:tcBorders>
              <w:top w:val="single" w:color="000000" w:sz="4" w:space="0"/>
            </w:tcBorders>
            <w:shd w:val="solid" w:color="FFFFFF" w:fill="FFFFFF"/>
            <w:noWrap/>
            <w:vAlign w:val="center"/>
          </w:tcPr>
          <w:p>
            <w:pPr>
              <w:jc w:val="left"/>
              <w:rPr>
                <w:rFonts w:ascii="Times New Roman" w:hAnsi="Times New Roman" w:eastAsia="宋体" w:cs="Times New Roman"/>
                <w:color w:val="000000"/>
              </w:rPr>
            </w:pPr>
            <w:r>
              <w:rPr>
                <w:rFonts w:ascii="Times New Roman" w:hAnsi="Times New Roman" w:eastAsia="宋体" w:cs="Times New Roman"/>
                <w:color w:val="000000"/>
              </w:rPr>
              <w:t>经济效益指标（5分）</w:t>
            </w:r>
          </w:p>
        </w:tc>
        <w:tc>
          <w:tcPr>
            <w:tcW w:w="1109" w:type="pct"/>
            <w:tcBorders>
              <w:top w:val="single" w:color="000000" w:sz="4" w:space="0"/>
            </w:tcBorders>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经济效益指标</w:t>
            </w:r>
          </w:p>
        </w:tc>
        <w:tc>
          <w:tcPr>
            <w:tcW w:w="436" w:type="pct"/>
            <w:tcBorders>
              <w:top w:val="single" w:color="000000" w:sz="4" w:space="0"/>
            </w:tcBorders>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5.00</w:t>
            </w:r>
          </w:p>
        </w:tc>
        <w:tc>
          <w:tcPr>
            <w:tcW w:w="436" w:type="pct"/>
            <w:tcBorders>
              <w:top w:val="single" w:color="000000" w:sz="4" w:space="0"/>
            </w:tcBorders>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5.00</w:t>
            </w:r>
          </w:p>
        </w:tc>
        <w:tc>
          <w:tcPr>
            <w:tcW w:w="436" w:type="pct"/>
            <w:tcBorders>
              <w:top w:val="single" w:color="000000" w:sz="4" w:space="0"/>
            </w:tcBorders>
            <w:shd w:val="solid" w:color="FFFFFF" w:fill="FFFFFF"/>
            <w:noWrap/>
            <w:vAlign w:val="center"/>
          </w:tcPr>
          <w:p>
            <w:pPr>
              <w:jc w:val="right"/>
              <w:rPr>
                <w:rFonts w:ascii="Times New Roman" w:hAnsi="Times New Roman" w:eastAsia="宋体" w:cs="Times New Roman"/>
                <w:color w:val="000000"/>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CellMar>
            <w:top w:w="0" w:type="dxa"/>
            <w:left w:w="108" w:type="dxa"/>
            <w:bottom w:w="0" w:type="dxa"/>
            <w:right w:w="108" w:type="dxa"/>
          </w:tblCellMar>
        </w:tblPrEx>
        <w:trPr>
          <w:trHeight w:val="397" w:hRule="atLeast"/>
        </w:trPr>
        <w:tc>
          <w:tcPr>
            <w:tcW w:w="1140" w:type="pct"/>
            <w:vMerge w:val="continue"/>
            <w:shd w:val="solid" w:color="FFFFFF" w:fill="FFFFFF"/>
            <w:vAlign w:val="center"/>
          </w:tcPr>
          <w:p>
            <w:pPr>
              <w:rPr>
                <w:rFonts w:ascii="Times New Roman" w:hAnsi="Times New Roman" w:eastAsia="宋体" w:cs="Times New Roman"/>
                <w:color w:val="000000"/>
              </w:rPr>
            </w:pPr>
          </w:p>
        </w:tc>
        <w:tc>
          <w:tcPr>
            <w:tcW w:w="1445" w:type="pct"/>
            <w:vMerge w:val="restart"/>
            <w:shd w:val="solid" w:color="FFFFFF" w:fill="FFFFFF"/>
            <w:noWrap/>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社会效益指标（10分）</w:t>
            </w:r>
          </w:p>
        </w:tc>
        <w:tc>
          <w:tcPr>
            <w:tcW w:w="1109" w:type="pct"/>
            <w:shd w:val="solid" w:color="FFFFFF" w:fill="FFFFFF"/>
            <w:noWrap/>
            <w:vAlign w:val="center"/>
          </w:tcPr>
          <w:p>
            <w:pPr>
              <w:jc w:val="left"/>
              <w:rPr>
                <w:rFonts w:ascii="Times New Roman" w:hAnsi="Times New Roman" w:eastAsia="宋体" w:cs="Times New Roman"/>
                <w:color w:val="000000"/>
              </w:rPr>
            </w:pPr>
            <w:r>
              <w:rPr>
                <w:rFonts w:ascii="Times New Roman" w:hAnsi="Times New Roman" w:eastAsia="宋体" w:cs="Times New Roman"/>
                <w:color w:val="000000"/>
              </w:rPr>
              <w:t>当年安全储粮比例</w:t>
            </w:r>
          </w:p>
        </w:tc>
        <w:tc>
          <w:tcPr>
            <w:tcW w:w="436" w:type="pct"/>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5.00</w:t>
            </w:r>
          </w:p>
        </w:tc>
        <w:tc>
          <w:tcPr>
            <w:tcW w:w="436" w:type="pct"/>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5.00</w:t>
            </w:r>
          </w:p>
        </w:tc>
        <w:tc>
          <w:tcPr>
            <w:tcW w:w="436" w:type="pct"/>
            <w:shd w:val="solid" w:color="FFFFFF" w:fill="FFFFFF"/>
            <w:noWrap/>
            <w:vAlign w:val="center"/>
          </w:tcPr>
          <w:p>
            <w:pPr>
              <w:jc w:val="right"/>
              <w:rPr>
                <w:rFonts w:ascii="Times New Roman" w:hAnsi="Times New Roman" w:eastAsia="宋体" w:cs="Times New Roman"/>
                <w:color w:val="000000"/>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CellMar>
            <w:top w:w="0" w:type="dxa"/>
            <w:left w:w="108" w:type="dxa"/>
            <w:bottom w:w="0" w:type="dxa"/>
            <w:right w:w="108" w:type="dxa"/>
          </w:tblCellMar>
        </w:tblPrEx>
        <w:trPr>
          <w:trHeight w:val="397" w:hRule="atLeast"/>
        </w:trPr>
        <w:tc>
          <w:tcPr>
            <w:tcW w:w="1140" w:type="pct"/>
            <w:vMerge w:val="continue"/>
            <w:shd w:val="solid" w:color="FFFFFF" w:fill="FFFFFF"/>
            <w:vAlign w:val="center"/>
          </w:tcPr>
          <w:p>
            <w:pPr>
              <w:rPr>
                <w:rFonts w:ascii="Times New Roman" w:hAnsi="Times New Roman" w:eastAsia="宋体" w:cs="Times New Roman"/>
                <w:color w:val="000000"/>
              </w:rPr>
            </w:pPr>
          </w:p>
        </w:tc>
        <w:tc>
          <w:tcPr>
            <w:tcW w:w="1445" w:type="pct"/>
            <w:vMerge w:val="continue"/>
            <w:shd w:val="solid" w:color="FFFFFF" w:fill="FFFFFF"/>
            <w:vAlign w:val="center"/>
          </w:tcPr>
          <w:p>
            <w:pPr>
              <w:rPr>
                <w:rFonts w:ascii="Times New Roman" w:hAnsi="Times New Roman" w:eastAsia="宋体" w:cs="Times New Roman"/>
                <w:color w:val="000000"/>
              </w:rPr>
            </w:pPr>
          </w:p>
        </w:tc>
        <w:tc>
          <w:tcPr>
            <w:tcW w:w="1109" w:type="pct"/>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调查数据正确率</w:t>
            </w:r>
          </w:p>
        </w:tc>
        <w:tc>
          <w:tcPr>
            <w:tcW w:w="436" w:type="pct"/>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5.00</w:t>
            </w:r>
          </w:p>
        </w:tc>
        <w:tc>
          <w:tcPr>
            <w:tcW w:w="436" w:type="pct"/>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5.00</w:t>
            </w:r>
          </w:p>
        </w:tc>
        <w:tc>
          <w:tcPr>
            <w:tcW w:w="436" w:type="pct"/>
            <w:shd w:val="solid" w:color="FFFFFF" w:fill="FFFFFF"/>
            <w:noWrap/>
            <w:vAlign w:val="center"/>
          </w:tcPr>
          <w:p>
            <w:pPr>
              <w:jc w:val="right"/>
              <w:rPr>
                <w:rFonts w:ascii="Times New Roman" w:hAnsi="Times New Roman" w:eastAsia="宋体" w:cs="Times New Roman"/>
                <w:color w:val="000000"/>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CellMar>
            <w:top w:w="0" w:type="dxa"/>
            <w:left w:w="108" w:type="dxa"/>
            <w:bottom w:w="0" w:type="dxa"/>
            <w:right w:w="108" w:type="dxa"/>
          </w:tblCellMar>
        </w:tblPrEx>
        <w:trPr>
          <w:trHeight w:val="397" w:hRule="atLeast"/>
        </w:trPr>
        <w:tc>
          <w:tcPr>
            <w:tcW w:w="1140" w:type="pct"/>
            <w:vMerge w:val="continue"/>
            <w:shd w:val="solid" w:color="FFFFFF" w:fill="FFFFFF"/>
            <w:vAlign w:val="center"/>
          </w:tcPr>
          <w:p>
            <w:pPr>
              <w:rPr>
                <w:rFonts w:ascii="Times New Roman" w:hAnsi="Times New Roman" w:eastAsia="宋体" w:cs="Times New Roman"/>
                <w:color w:val="000000"/>
              </w:rPr>
            </w:pPr>
          </w:p>
        </w:tc>
        <w:tc>
          <w:tcPr>
            <w:tcW w:w="1445" w:type="pct"/>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生态效益指标（5分）</w:t>
            </w:r>
          </w:p>
        </w:tc>
        <w:tc>
          <w:tcPr>
            <w:tcW w:w="1109" w:type="pct"/>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生态效益指标</w:t>
            </w:r>
          </w:p>
        </w:tc>
        <w:tc>
          <w:tcPr>
            <w:tcW w:w="436" w:type="pct"/>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5.00</w:t>
            </w:r>
          </w:p>
        </w:tc>
        <w:tc>
          <w:tcPr>
            <w:tcW w:w="436" w:type="pct"/>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5.00</w:t>
            </w:r>
          </w:p>
        </w:tc>
        <w:tc>
          <w:tcPr>
            <w:tcW w:w="436" w:type="pct"/>
            <w:shd w:val="solid" w:color="FFFFFF" w:fill="FFFFFF"/>
            <w:noWrap/>
            <w:vAlign w:val="center"/>
          </w:tcPr>
          <w:p>
            <w:pPr>
              <w:jc w:val="right"/>
              <w:rPr>
                <w:rFonts w:ascii="Times New Roman" w:hAnsi="Times New Roman" w:eastAsia="宋体" w:cs="Times New Roman"/>
                <w:color w:val="000000"/>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CellMar>
            <w:top w:w="0" w:type="dxa"/>
            <w:left w:w="108" w:type="dxa"/>
            <w:bottom w:w="0" w:type="dxa"/>
            <w:right w:w="108" w:type="dxa"/>
          </w:tblCellMar>
        </w:tblPrEx>
        <w:trPr>
          <w:trHeight w:val="397" w:hRule="atLeast"/>
        </w:trPr>
        <w:tc>
          <w:tcPr>
            <w:tcW w:w="1140" w:type="pct"/>
            <w:vMerge w:val="continue"/>
            <w:tcBorders>
              <w:bottom w:val="single" w:color="000000" w:sz="4" w:space="0"/>
            </w:tcBorders>
            <w:shd w:val="solid" w:color="FFFFFF" w:fill="FFFFFF"/>
            <w:vAlign w:val="center"/>
          </w:tcPr>
          <w:p>
            <w:pPr>
              <w:rPr>
                <w:rFonts w:ascii="Times New Roman" w:hAnsi="Times New Roman" w:eastAsia="宋体" w:cs="Times New Roman"/>
                <w:color w:val="000000"/>
              </w:rPr>
            </w:pPr>
          </w:p>
        </w:tc>
        <w:tc>
          <w:tcPr>
            <w:tcW w:w="1445" w:type="pct"/>
            <w:tcBorders>
              <w:bottom w:val="single" w:color="000000" w:sz="4" w:space="0"/>
            </w:tcBorders>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服务对象满意度（5分）</w:t>
            </w:r>
          </w:p>
        </w:tc>
        <w:tc>
          <w:tcPr>
            <w:tcW w:w="1109" w:type="pct"/>
            <w:tcBorders>
              <w:bottom w:val="single" w:color="000000" w:sz="4" w:space="0"/>
            </w:tcBorders>
            <w:shd w:val="solid" w:color="FFFFFF" w:fill="FFFFFF"/>
            <w:noWrap/>
            <w:vAlign w:val="center"/>
          </w:tcPr>
          <w:p>
            <w:pPr>
              <w:rPr>
                <w:rFonts w:ascii="Times New Roman" w:hAnsi="Times New Roman" w:eastAsia="宋体" w:cs="Times New Roman"/>
                <w:color w:val="000000"/>
              </w:rPr>
            </w:pPr>
            <w:r>
              <w:rPr>
                <w:rFonts w:ascii="Times New Roman" w:hAnsi="Times New Roman" w:eastAsia="宋体" w:cs="Times New Roman"/>
                <w:color w:val="000000"/>
              </w:rPr>
              <w:t>服务对象满意度</w:t>
            </w:r>
          </w:p>
        </w:tc>
        <w:tc>
          <w:tcPr>
            <w:tcW w:w="436" w:type="pct"/>
            <w:tcBorders>
              <w:bottom w:val="single" w:color="000000" w:sz="4" w:space="0"/>
            </w:tcBorders>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5.00</w:t>
            </w:r>
          </w:p>
        </w:tc>
        <w:tc>
          <w:tcPr>
            <w:tcW w:w="436" w:type="pct"/>
            <w:tcBorders>
              <w:bottom w:val="single" w:color="000000" w:sz="4" w:space="0"/>
            </w:tcBorders>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5.00</w:t>
            </w:r>
          </w:p>
        </w:tc>
        <w:tc>
          <w:tcPr>
            <w:tcW w:w="436" w:type="pct"/>
            <w:tcBorders>
              <w:bottom w:val="single" w:color="000000" w:sz="4" w:space="0"/>
            </w:tcBorders>
            <w:shd w:val="solid" w:color="FFFFFF" w:fill="FFFFFF"/>
            <w:noWrap/>
            <w:vAlign w:val="center"/>
          </w:tcPr>
          <w:p>
            <w:pPr>
              <w:jc w:val="right"/>
              <w:rPr>
                <w:rFonts w:ascii="Times New Roman" w:hAnsi="Times New Roman" w:eastAsia="宋体" w:cs="Times New Roman"/>
                <w:color w:val="000000"/>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solid" w:color="FFFFFF" w:fill="FFFFFF"/>
          <w:tblCellMar>
            <w:top w:w="0" w:type="dxa"/>
            <w:left w:w="108" w:type="dxa"/>
            <w:bottom w:w="0" w:type="dxa"/>
            <w:right w:w="108" w:type="dxa"/>
          </w:tblCellMar>
        </w:tblPrEx>
        <w:trPr>
          <w:trHeight w:val="397" w:hRule="atLeast"/>
        </w:trPr>
        <w:tc>
          <w:tcPr>
            <w:tcW w:w="3693" w:type="pct"/>
            <w:gridSpan w:val="3"/>
            <w:tcBorders>
              <w:top w:val="single" w:color="000000" w:sz="4" w:space="0"/>
              <w:bottom w:val="single" w:color="000000" w:sz="12" w:space="0"/>
            </w:tcBorders>
            <w:shd w:val="solid" w:color="FFFFFF" w:fill="FFFFFF"/>
            <w:noWrap/>
            <w:vAlign w:val="center"/>
          </w:tcPr>
          <w:p>
            <w:pPr>
              <w:jc w:val="center"/>
              <w:rPr>
                <w:rFonts w:ascii="Times New Roman" w:hAnsi="Times New Roman" w:eastAsia="宋体" w:cs="Times New Roman"/>
                <w:color w:val="000000"/>
              </w:rPr>
            </w:pPr>
            <w:r>
              <w:rPr>
                <w:rFonts w:hint="eastAsia" w:ascii="Times New Roman" w:hAnsi="Times New Roman" w:eastAsia="宋体" w:cs="Times New Roman"/>
                <w:color w:val="000000"/>
              </w:rPr>
              <w:t>合计</w:t>
            </w:r>
          </w:p>
        </w:tc>
        <w:tc>
          <w:tcPr>
            <w:tcW w:w="436" w:type="pct"/>
            <w:tcBorders>
              <w:top w:val="single" w:color="000000" w:sz="4" w:space="0"/>
              <w:bottom w:val="single" w:color="000000" w:sz="12" w:space="0"/>
            </w:tcBorders>
            <w:shd w:val="solid" w:color="FFFFFF" w:fill="FFFFFF"/>
            <w:noWrap/>
            <w:vAlign w:val="center"/>
          </w:tcPr>
          <w:p>
            <w:pPr>
              <w:jc w:val="right"/>
              <w:rPr>
                <w:rFonts w:hint="eastAsia" w:ascii="Times New Roman" w:hAnsi="Times New Roman" w:eastAsia="宋体" w:cs="Times New Roman"/>
                <w:color w:val="000000"/>
              </w:rPr>
            </w:pPr>
            <w:r>
              <w:rPr>
                <w:rFonts w:ascii="Times New Roman" w:hAnsi="Times New Roman" w:eastAsia="宋体" w:cs="Times New Roman"/>
                <w:color w:val="000000"/>
              </w:rPr>
              <w:t>25.00</w:t>
            </w:r>
          </w:p>
        </w:tc>
        <w:tc>
          <w:tcPr>
            <w:tcW w:w="436" w:type="pct"/>
            <w:tcBorders>
              <w:top w:val="single" w:color="000000" w:sz="4" w:space="0"/>
              <w:bottom w:val="single" w:color="000000" w:sz="12" w:space="0"/>
            </w:tcBorders>
            <w:shd w:val="solid" w:color="FFFFFF" w:fill="FFFFFF"/>
            <w:noWrap/>
            <w:vAlign w:val="center"/>
          </w:tcPr>
          <w:p>
            <w:pPr>
              <w:jc w:val="right"/>
              <w:rPr>
                <w:rFonts w:ascii="Times New Roman" w:hAnsi="Times New Roman" w:eastAsia="宋体" w:cs="Times New Roman"/>
                <w:color w:val="000000"/>
              </w:rPr>
            </w:pPr>
            <w:r>
              <w:rPr>
                <w:rFonts w:ascii="Times New Roman" w:hAnsi="Times New Roman" w:eastAsia="宋体" w:cs="Times New Roman"/>
                <w:color w:val="000000"/>
              </w:rPr>
              <w:t>25.00</w:t>
            </w:r>
          </w:p>
        </w:tc>
        <w:tc>
          <w:tcPr>
            <w:tcW w:w="436" w:type="pct"/>
            <w:tcBorders>
              <w:top w:val="single" w:color="000000" w:sz="4" w:space="0"/>
              <w:bottom w:val="single" w:color="000000" w:sz="12" w:space="0"/>
            </w:tcBorders>
            <w:shd w:val="solid" w:color="FFFFFF" w:fill="FFFFFF"/>
            <w:noWrap/>
            <w:vAlign w:val="center"/>
          </w:tcPr>
          <w:p>
            <w:pPr>
              <w:jc w:val="right"/>
              <w:rPr>
                <w:rFonts w:ascii="Times New Roman" w:hAnsi="Times New Roman" w:eastAsia="宋体" w:cs="Times New Roman"/>
                <w:color w:val="000000"/>
              </w:rPr>
            </w:pPr>
          </w:p>
        </w:tc>
      </w:tr>
    </w:tbl>
    <w:p>
      <w:pPr>
        <w:pStyle w:val="7"/>
        <w:keepNext w:val="0"/>
        <w:keepLines w:val="0"/>
        <w:pageBreakBefore w:val="0"/>
        <w:widowControl/>
        <w:kinsoku/>
        <w:wordWrap/>
        <w:overflowPunct/>
        <w:topLinePunct w:val="0"/>
        <w:autoSpaceDE/>
        <w:autoSpaceDN/>
        <w:bidi w:val="0"/>
        <w:adjustRightInd/>
        <w:snapToGrid w:val="0"/>
        <w:ind w:firstLine="560" w:firstLineChars="200"/>
        <w:textAlignment w:val="center"/>
      </w:pPr>
      <w:bookmarkStart w:id="0" w:name="_Toc167098355"/>
      <w:r>
        <w:rPr>
          <w:rFonts w:hint="eastAsia"/>
        </w:rPr>
        <w:t>主要经验做法</w:t>
      </w:r>
      <w:bookmarkEnd w:id="0"/>
    </w:p>
    <w:p>
      <w:pPr>
        <w:pStyle w:val="16"/>
      </w:pPr>
      <w:r>
        <w:rPr>
          <w:rFonts w:hint="eastAsia"/>
          <w:lang w:eastAsia="zh-CN"/>
        </w:rPr>
        <w:t>（</w:t>
      </w:r>
      <w:r>
        <w:rPr>
          <w:rFonts w:hint="eastAsia"/>
          <w:lang w:val="en-US" w:eastAsia="zh-CN"/>
        </w:rPr>
        <w:t>一</w:t>
      </w:r>
      <w:r>
        <w:rPr>
          <w:rFonts w:hint="eastAsia"/>
          <w:lang w:eastAsia="zh-CN"/>
        </w:rPr>
        <w:t>）</w:t>
      </w:r>
      <w:r>
        <w:t>强化项目管理和监督</w:t>
      </w:r>
    </w:p>
    <w:p>
      <w:pPr>
        <w:pStyle w:val="16"/>
      </w:pPr>
      <w:r>
        <w:rPr>
          <w:rFonts w:hint="eastAsia"/>
        </w:rPr>
        <w:t>县发改局加强项目管理和监督，确保项目按计划推进。县发改局建立项目管理团队，明确职责分工，制定详细的项目实施计划和时间表，定期召开项目进展汇报会，对项目进行全程跟踪和监督。</w:t>
      </w:r>
    </w:p>
    <w:p>
      <w:pPr>
        <w:pStyle w:val="16"/>
      </w:pPr>
      <w:r>
        <w:rPr>
          <w:rFonts w:hint="eastAsia"/>
          <w:lang w:eastAsia="zh-CN"/>
        </w:rPr>
        <w:t>（</w:t>
      </w:r>
      <w:r>
        <w:rPr>
          <w:rFonts w:hint="eastAsia"/>
          <w:lang w:val="en-US" w:eastAsia="zh-CN"/>
        </w:rPr>
        <w:t>二</w:t>
      </w:r>
      <w:r>
        <w:rPr>
          <w:rFonts w:hint="eastAsia"/>
          <w:lang w:eastAsia="zh-CN"/>
        </w:rPr>
        <w:t>）</w:t>
      </w:r>
      <w:r>
        <w:t>注重培训和能力建设</w:t>
      </w:r>
    </w:p>
    <w:p>
      <w:pPr>
        <w:pStyle w:val="16"/>
      </w:pPr>
      <w:r>
        <w:rPr>
          <w:rFonts w:hint="eastAsia"/>
        </w:rPr>
        <w:t>县发改局提高相关人员的专业能力和管理水平是确保项目顺利实施的重要保障。县发改局开展定期的培训和能力建设活动，提升项目管理人员和执行人员的专业技能和管理能力，增强其执行力和责任感。</w:t>
      </w:r>
    </w:p>
    <w:p>
      <w:pPr>
        <w:pStyle w:val="16"/>
      </w:pPr>
      <w:r>
        <w:rPr>
          <w:rFonts w:hint="eastAsia"/>
          <w:lang w:eastAsia="zh-CN"/>
        </w:rPr>
        <w:t>（</w:t>
      </w:r>
      <w:r>
        <w:rPr>
          <w:rFonts w:hint="eastAsia"/>
          <w:lang w:val="en-US" w:eastAsia="zh-CN"/>
        </w:rPr>
        <w:t>三</w:t>
      </w:r>
      <w:r>
        <w:rPr>
          <w:rFonts w:hint="eastAsia"/>
          <w:lang w:eastAsia="zh-CN"/>
        </w:rPr>
        <w:t>）</w:t>
      </w:r>
      <w:r>
        <w:rPr>
          <w:rFonts w:hint="eastAsia"/>
        </w:rPr>
        <w:t>加强资金管理</w:t>
      </w:r>
    </w:p>
    <w:p>
      <w:pPr>
        <w:pStyle w:val="16"/>
        <w:rPr>
          <w:rFonts w:hint="eastAsia"/>
        </w:rPr>
      </w:pPr>
      <w:r>
        <w:rPr>
          <w:rFonts w:hint="eastAsia"/>
        </w:rPr>
        <w:t>县发改局严格的资金管理和监督机制可以确保资金使用的透明和高效。县发改局建立完善</w:t>
      </w:r>
      <w:r>
        <w:rPr>
          <w:rFonts w:hint="eastAsia"/>
          <w:lang w:eastAsia="zh-CN"/>
        </w:rPr>
        <w:t>了</w:t>
      </w:r>
      <w:r>
        <w:rPr>
          <w:rFonts w:hint="eastAsia"/>
        </w:rPr>
        <w:t>财务管理制度，明确资金使用的流程和标准，定期进行财务审计和检查，确保资金使用合规、透明。</w:t>
      </w:r>
    </w:p>
    <w:p>
      <w:pPr>
        <w:pStyle w:val="16"/>
      </w:pPr>
      <w:r>
        <w:rPr>
          <w:rFonts w:hint="eastAsia"/>
          <w:lang w:eastAsia="zh-CN"/>
        </w:rPr>
        <w:t>（</w:t>
      </w:r>
      <w:r>
        <w:rPr>
          <w:rFonts w:hint="eastAsia"/>
          <w:lang w:val="en-US" w:eastAsia="zh-CN"/>
        </w:rPr>
        <w:t>四</w:t>
      </w:r>
      <w:r>
        <w:rPr>
          <w:rFonts w:hint="eastAsia"/>
          <w:lang w:eastAsia="zh-CN"/>
        </w:rPr>
        <w:t>）</w:t>
      </w:r>
      <w:r>
        <w:t>公众参与和透明度</w:t>
      </w:r>
    </w:p>
    <w:p>
      <w:pPr>
        <w:pStyle w:val="16"/>
      </w:pPr>
      <w:r>
        <w:rPr>
          <w:rFonts w:hint="eastAsia"/>
        </w:rPr>
        <w:t>县发改局增加公众参与，提高项目的透明度，增强公众对项目的理解和支持。通过公开信息、召开公众会议、设置意见反馈机制等方式，增加公众对项目的了解和参与度，接受社会监督，提升项目的公信力。</w:t>
      </w:r>
    </w:p>
    <w:p>
      <w:pPr>
        <w:pStyle w:val="16"/>
      </w:pPr>
      <w:r>
        <w:rPr>
          <w:rFonts w:hint="eastAsia"/>
          <w:lang w:eastAsia="zh-CN"/>
        </w:rPr>
        <w:t>（</w:t>
      </w:r>
      <w:r>
        <w:rPr>
          <w:rFonts w:hint="eastAsia"/>
          <w:lang w:val="en-US" w:eastAsia="zh-CN"/>
        </w:rPr>
        <w:t>五</w:t>
      </w:r>
      <w:r>
        <w:rPr>
          <w:rFonts w:hint="eastAsia"/>
          <w:lang w:eastAsia="zh-CN"/>
        </w:rPr>
        <w:t>）</w:t>
      </w:r>
      <w:r>
        <w:t>定期评价和反馈机制</w:t>
      </w:r>
    </w:p>
    <w:p>
      <w:pPr>
        <w:pStyle w:val="16"/>
      </w:pPr>
      <w:r>
        <w:rPr>
          <w:rFonts w:hint="eastAsia"/>
        </w:rPr>
        <w:t>县发改局建立定期评价和反馈机制，及时发现问题并进行改进。定期开展项目绩效评价，形成评价报告，并根据评价结果进行调整和改进，确保项目朝着预期目标发展。</w:t>
      </w:r>
    </w:p>
    <w:p>
      <w:pPr>
        <w:pStyle w:val="7"/>
        <w:keepNext w:val="0"/>
        <w:keepLines w:val="0"/>
        <w:pageBreakBefore w:val="0"/>
        <w:widowControl/>
        <w:kinsoku/>
        <w:wordWrap/>
        <w:overflowPunct/>
        <w:topLinePunct w:val="0"/>
        <w:autoSpaceDE/>
        <w:autoSpaceDN/>
        <w:bidi w:val="0"/>
        <w:adjustRightInd/>
        <w:snapToGrid w:val="0"/>
        <w:ind w:firstLine="560" w:firstLineChars="200"/>
        <w:textAlignment w:val="center"/>
      </w:pPr>
      <w:r>
        <w:rPr>
          <w:rFonts w:hint="eastAsia"/>
        </w:rPr>
        <w:t>存在的问题</w:t>
      </w:r>
    </w:p>
    <w:p>
      <w:pPr>
        <w:pStyle w:val="16"/>
      </w:pPr>
      <w:r>
        <w:rPr>
          <w:rFonts w:hint="eastAsia"/>
        </w:rPr>
        <w:t>绩效指标体系不够科学</w:t>
      </w:r>
      <w:r>
        <w:rPr>
          <w:rFonts w:hint="eastAsia"/>
          <w:lang w:eastAsia="zh-CN"/>
        </w:rPr>
        <w:t>：</w:t>
      </w:r>
      <w:r>
        <w:rPr>
          <w:rFonts w:hint="eastAsia"/>
        </w:rPr>
        <w:t>绩效指标体系设计不够科学，某些指标过于笼统或难以量化，无法全面反映项目绩效。</w:t>
      </w:r>
    </w:p>
    <w:p>
      <w:pPr>
        <w:pStyle w:val="16"/>
        <w:rPr>
          <w:rFonts w:hint="eastAsia"/>
        </w:rPr>
      </w:pPr>
    </w:p>
    <w:p>
      <w:pPr>
        <w:pStyle w:val="7"/>
        <w:keepNext w:val="0"/>
        <w:keepLines w:val="0"/>
        <w:pageBreakBefore w:val="0"/>
        <w:widowControl/>
        <w:kinsoku/>
        <w:wordWrap/>
        <w:overflowPunct/>
        <w:topLinePunct w:val="0"/>
        <w:autoSpaceDE/>
        <w:autoSpaceDN/>
        <w:bidi w:val="0"/>
        <w:adjustRightInd/>
        <w:snapToGrid w:val="0"/>
        <w:ind w:firstLine="560" w:firstLineChars="200"/>
        <w:textAlignment w:val="center"/>
        <w:rPr>
          <w:rFonts w:hint="eastAsia"/>
        </w:rPr>
      </w:pPr>
      <w:r>
        <w:rPr>
          <w:rFonts w:hint="eastAsia"/>
        </w:rPr>
        <w:t>相关</w:t>
      </w:r>
      <w:r>
        <w:t>建议</w:t>
      </w:r>
    </w:p>
    <w:p>
      <w:pPr>
        <w:pStyle w:val="16"/>
      </w:pPr>
      <w:r>
        <w:rPr>
          <w:rFonts w:hint="eastAsia"/>
          <w:lang w:val="en-US" w:eastAsia="zh-CN"/>
        </w:rPr>
        <w:t>建议</w:t>
      </w:r>
      <w:r>
        <w:rPr>
          <w:rFonts w:hint="eastAsia"/>
        </w:rPr>
        <w:t>根据实际情况和项目目标，制定涵盖经济效益、社会效益、生态效益等方面的绩效指标，并明确各项指标的衡量标准和评估方法。邀请专家和相关利益方共同参与绩效指标体系的设计，确保指标的科学性和可操作性，定期评估和优化指标体系。</w:t>
      </w:r>
    </w:p>
    <w:p>
      <w:pPr>
        <w:pStyle w:val="16"/>
      </w:pPr>
    </w:p>
    <w:p>
      <w:pPr>
        <w:pStyle w:val="16"/>
      </w:pPr>
      <w:r>
        <w:rPr>
          <w:rFonts w:hint="eastAsia"/>
        </w:rPr>
        <w:t>附表：嘉鱼县发展和改革局粮食流通产业发展资金项目绩效评价指标体系及评分表</w:t>
      </w:r>
    </w:p>
    <w:p>
      <w:pPr>
        <w:pStyle w:val="16"/>
      </w:pPr>
    </w:p>
    <w:p>
      <w:pPr>
        <w:pStyle w:val="16"/>
        <w:jc w:val="right"/>
        <w:rPr>
          <w:rFonts w:hint="eastAsia"/>
        </w:rPr>
      </w:pPr>
      <w:r>
        <w:rPr>
          <w:rFonts w:hint="eastAsia"/>
        </w:rPr>
        <w:t>嘉鱼县正平财务咨询有限责任公司</w:t>
      </w:r>
    </w:p>
    <w:p>
      <w:pPr>
        <w:pStyle w:val="16"/>
        <w:jc w:val="center"/>
        <w:rPr>
          <w:rFonts w:hint="default" w:eastAsia="宋体"/>
          <w:lang w:val="en-US" w:eastAsia="zh-CN"/>
        </w:rPr>
      </w:pPr>
      <w:r>
        <w:rPr>
          <w:rFonts w:hint="eastAsia"/>
          <w:lang w:val="en-US" w:eastAsia="zh-CN"/>
        </w:rPr>
        <w:t xml:space="preserve">                                     </w:t>
      </w:r>
      <w:bookmarkStart w:id="1" w:name="_GoBack"/>
      <w:bookmarkEnd w:id="1"/>
      <w:r>
        <w:rPr>
          <w:rFonts w:hint="eastAsia"/>
          <w:lang w:val="en-US" w:eastAsia="zh-CN"/>
        </w:rPr>
        <w:t>二零二四年五月</w:t>
      </w:r>
    </w:p>
    <w:p>
      <w:pPr>
        <w:pStyle w:val="16"/>
        <w:rPr>
          <w:rFonts w:hint="eastAsia"/>
        </w:rPr>
      </w:pPr>
    </w:p>
    <w:sectPr>
      <w:footerReference r:id="rId4" w:type="default"/>
      <w:pgSz w:w="11906" w:h="16838"/>
      <w:pgMar w:top="1440" w:right="1797" w:bottom="1440" w:left="1797" w:header="850"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宋体" w:eastAsia="宋体"/>
        <w:sz w:val="20"/>
      </w:rPr>
    </w:pPr>
    <w:r>
      <w:t xml:space="preserve">第 </w:t>
    </w:r>
    <w:r>
      <w:fldChar w:fldCharType="begin"/>
    </w:r>
    <w:r>
      <w:instrText xml:space="preserve"> page </w:instrText>
    </w:r>
    <w:r>
      <w:fldChar w:fldCharType="separate"/>
    </w:r>
    <w:r>
      <w:t>1</w:t>
    </w:r>
    <w:r>
      <w:fldChar w:fldCharType="end"/>
    </w:r>
    <w:r>
      <w:t xml:space="preserve"> 页，共 </w:t>
    </w:r>
    <w:r>
      <w:fldChar w:fldCharType="begin"/>
    </w:r>
    <w:r>
      <w:instrText xml:space="preserve"> sectionpages </w:instrText>
    </w:r>
    <w:r>
      <w:fldChar w:fldCharType="separate"/>
    </w:r>
    <w:r>
      <w:t>1</w:t>
    </w:r>
    <w:r>
      <w:fldChar w:fldCharType="end"/>
    </w:r>
    <w: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宋体" w:eastAsia="宋体"/>
        <w:sz w:val="20"/>
      </w:rPr>
    </w:pPr>
    <w:r>
      <w:t xml:space="preserve">第 </w:t>
    </w:r>
    <w:r>
      <w:fldChar w:fldCharType="begin"/>
    </w:r>
    <w:r>
      <w:instrText xml:space="preserve"> page </w:instrText>
    </w:r>
    <w:r>
      <w:fldChar w:fldCharType="separate"/>
    </w:r>
    <w:r>
      <w:t>9</w:t>
    </w:r>
    <w:r>
      <w:fldChar w:fldCharType="end"/>
    </w:r>
    <w:r>
      <w:t xml:space="preserve"> 页，共 </w:t>
    </w:r>
    <w:r>
      <w:fldChar w:fldCharType="begin"/>
    </w:r>
    <w:r>
      <w:instrText xml:space="preserve"> sectionpages </w:instrText>
    </w:r>
    <w:r>
      <w:fldChar w:fldCharType="separate"/>
    </w:r>
    <w:r>
      <w:t>9</w:t>
    </w:r>
    <w:r>
      <w:fldChar w:fldCharType="end"/>
    </w:r>
    <w: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7E9F1"/>
    <w:multiLevelType w:val="singleLevel"/>
    <w:tmpl w:val="03A7E9F1"/>
    <w:lvl w:ilvl="0" w:tentative="0">
      <w:start w:val="1"/>
      <w:numFmt w:val="decimal"/>
      <w:suff w:val="nothing"/>
      <w:lvlText w:val="%1、"/>
      <w:lvlJc w:val="left"/>
    </w:lvl>
  </w:abstractNum>
  <w:abstractNum w:abstractNumId="1">
    <w:nsid w:val="3A3657EB"/>
    <w:multiLevelType w:val="multilevel"/>
    <w:tmpl w:val="3A3657EB"/>
    <w:lvl w:ilvl="0" w:tentative="0">
      <w:start w:val="1"/>
      <w:numFmt w:val="chineseCountingThousand"/>
      <w:pStyle w:val="7"/>
      <w:suff w:val="space"/>
      <w:lvlText w:val="%1、"/>
      <w:lvlJc w:val="left"/>
      <w:pPr>
        <w:ind w:left="0" w:firstLine="0"/>
      </w:pPr>
      <w:rPr>
        <w:rFonts w:hint="eastAsia"/>
      </w:rPr>
    </w:lvl>
    <w:lvl w:ilvl="1" w:tentative="0">
      <w:start w:val="1"/>
      <w:numFmt w:val="chineseCountingThousand"/>
      <w:pStyle w:val="10"/>
      <w:suff w:val="space"/>
      <w:lvlText w:val="（%2）"/>
      <w:lvlJc w:val="left"/>
      <w:pPr>
        <w:ind w:left="0" w:firstLine="0"/>
      </w:pPr>
      <w:rPr>
        <w:rFonts w:hint="eastAsia"/>
      </w:rPr>
    </w:lvl>
    <w:lvl w:ilvl="2" w:tentative="0">
      <w:start w:val="1"/>
      <w:numFmt w:val="decimal"/>
      <w:pStyle w:val="12"/>
      <w:suff w:val="space"/>
      <w:lvlText w:val="%3、"/>
      <w:lvlJc w:val="left"/>
      <w:pPr>
        <w:ind w:left="0" w:firstLine="0"/>
      </w:pPr>
      <w:rPr>
        <w:rFonts w:hint="eastAsia"/>
      </w:rPr>
    </w:lvl>
    <w:lvl w:ilvl="3" w:tentative="0">
      <w:start w:val="1"/>
      <w:numFmt w:val="decimal"/>
      <w:pStyle w:val="14"/>
      <w:suff w:val="space"/>
      <w:lvlText w:val="（%4）"/>
      <w:lvlJc w:val="left"/>
      <w:pPr>
        <w:ind w:left="-60" w:firstLine="0"/>
      </w:pPr>
      <w:rPr>
        <w:rFonts w:hint="eastAsia"/>
      </w:rPr>
    </w:lvl>
    <w:lvl w:ilvl="4" w:tentative="0">
      <w:start w:val="1"/>
      <w:numFmt w:val="decimal"/>
      <w:lvlText w:val="%1.%2.%3.%4.%5"/>
      <w:lvlJc w:val="left"/>
      <w:pPr>
        <w:ind w:left="411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sers|May|Desktop|嘉鱼发改局项目自评.xlsx||报告用表|_jds1||&amp;|分|2|D7" w:val="18分"/>
    <w:docVar w:name="C:|Users|May|Desktop|嘉鱼发改局项目自评.xlsx||报告用表|_jds10||&amp;|分|2|H13" w:val="11分"/>
    <w:docVar w:name="C:|Users|May|Desktop|嘉鱼发改局项目自评.xlsx||报告用表|_jds11||&amp;|分|2|I13" w:val="11分"/>
    <w:docVar w:name="C:|Users|May|Desktop|嘉鱼发改局项目自评.xlsx||报告用表|_jds12||&amp;|分|2|H16" w:val="11分"/>
    <w:docVar w:name="C:|Users|May|Desktop|嘉鱼发改局项目自评.xlsx||报告用表|_jds14||&amp;|分|2|A10" w:val="一级指标"/>
    <w:docVar w:name="C:|Users|May|Desktop|嘉鱼发改局项目自评.xlsx||报告用表|_jds16||&amp;|分|2|D24" w:val="15分"/>
    <w:docVar w:name="C:|Users|May|Desktop|嘉鱼发改局项目自评.xlsx||报告用表|_jds17||&amp;|分|2|E24" w:val="15分"/>
    <w:docVar w:name="C:|Users|May|Desktop|嘉鱼发改局项目自评.xlsx||报告用表|_jds18||&amp;|分|2|D21" w:val="5分"/>
    <w:docVar w:name="C:|Users|May|Desktop|嘉鱼发改局项目自评.xlsx||报告用表|_jds19||&amp;|分|2|A20" w:val="一级指标"/>
    <w:docVar w:name="C:|Users|May|Desktop|嘉鱼发改局项目自评.xlsx||报告用表|_jds2||&amp;|分|2|E7" w:val="16分"/>
    <w:docVar w:name="C:|Users|May|Desktop|嘉鱼发改局项目自评.xlsx||报告用表|_jds3||&amp;|分|2|H4" w:val="12分"/>
    <w:docVar w:name="C:|Users|May|Desktop|嘉鱼发改局项目自评.xlsx||报告用表|_jds4||&amp;|分|2|I4" w:val="10分"/>
    <w:docVar w:name="C:|Users|May|Desktop|嘉鱼发改局项目自评.xlsx||报告用表|_jds5||&amp;|分|2|H6" w:val="6分"/>
    <w:docVar w:name="C:|Users|May|Desktop|嘉鱼发改局项目自评.xlsx||报告用表|_jds6||&amp;|分|2|I6" w:val="6分"/>
    <w:docVar w:name="C:|Users|May|Desktop|嘉鱼发改局项目自评.xlsx||报告用表|_jds7||&amp;|分|2|J4" w:val="2分"/>
    <w:docVar w:name="C:|Users|May|Desktop|嘉鱼发改局项目自评.xlsx||报告用表|_jds8||&amp;|分|2|D17" w:val="22分"/>
    <w:docVar w:name="C:|Users|May|Desktop|嘉鱼发改局项目自评.xlsx||报告用表|_jds9|||||E17" w:val="22"/>
    <w:docVar w:name="commondata" w:val="eyJoZGlkIjoiN2M5ZTI2Mzc4MWI1ZmY5ZmEzNjc1NzQyZmM2MTJhODQifQ=="/>
  </w:docVars>
  <w:rsids>
    <w:rsidRoot w:val="00A00790"/>
    <w:rsid w:val="00003DC0"/>
    <w:rsid w:val="00006C5B"/>
    <w:rsid w:val="00011783"/>
    <w:rsid w:val="00023FAF"/>
    <w:rsid w:val="00025D8B"/>
    <w:rsid w:val="000429D7"/>
    <w:rsid w:val="00060528"/>
    <w:rsid w:val="00061C9F"/>
    <w:rsid w:val="00073056"/>
    <w:rsid w:val="00073BE1"/>
    <w:rsid w:val="000840DC"/>
    <w:rsid w:val="00091E8A"/>
    <w:rsid w:val="000B29DE"/>
    <w:rsid w:val="000D4F59"/>
    <w:rsid w:val="000F2FF2"/>
    <w:rsid w:val="000F36FF"/>
    <w:rsid w:val="0010155A"/>
    <w:rsid w:val="0011279C"/>
    <w:rsid w:val="001304E6"/>
    <w:rsid w:val="00133DD8"/>
    <w:rsid w:val="001348BE"/>
    <w:rsid w:val="00135090"/>
    <w:rsid w:val="00135133"/>
    <w:rsid w:val="00163F4B"/>
    <w:rsid w:val="00172B3C"/>
    <w:rsid w:val="001A17BD"/>
    <w:rsid w:val="001A591E"/>
    <w:rsid w:val="001D5C1F"/>
    <w:rsid w:val="001D5F2A"/>
    <w:rsid w:val="001D7C34"/>
    <w:rsid w:val="001E39A0"/>
    <w:rsid w:val="0021635B"/>
    <w:rsid w:val="00222D58"/>
    <w:rsid w:val="002408E2"/>
    <w:rsid w:val="00252D56"/>
    <w:rsid w:val="0026293A"/>
    <w:rsid w:val="002839A8"/>
    <w:rsid w:val="002856B4"/>
    <w:rsid w:val="002A24FE"/>
    <w:rsid w:val="002C7FC5"/>
    <w:rsid w:val="002E2144"/>
    <w:rsid w:val="002E4E5F"/>
    <w:rsid w:val="00306832"/>
    <w:rsid w:val="00331166"/>
    <w:rsid w:val="003716D5"/>
    <w:rsid w:val="00390948"/>
    <w:rsid w:val="003A062B"/>
    <w:rsid w:val="003A2210"/>
    <w:rsid w:val="003B04DF"/>
    <w:rsid w:val="003B6CD7"/>
    <w:rsid w:val="003D4485"/>
    <w:rsid w:val="003E2F32"/>
    <w:rsid w:val="003F61BA"/>
    <w:rsid w:val="004013DD"/>
    <w:rsid w:val="00421667"/>
    <w:rsid w:val="0042171F"/>
    <w:rsid w:val="00433E27"/>
    <w:rsid w:val="00436CB8"/>
    <w:rsid w:val="00440A33"/>
    <w:rsid w:val="0045067B"/>
    <w:rsid w:val="00457A13"/>
    <w:rsid w:val="00462921"/>
    <w:rsid w:val="0048778F"/>
    <w:rsid w:val="00487B77"/>
    <w:rsid w:val="004A1894"/>
    <w:rsid w:val="004A396D"/>
    <w:rsid w:val="004B706A"/>
    <w:rsid w:val="004D7725"/>
    <w:rsid w:val="005178B2"/>
    <w:rsid w:val="0053042B"/>
    <w:rsid w:val="005438C5"/>
    <w:rsid w:val="00547217"/>
    <w:rsid w:val="00555DBF"/>
    <w:rsid w:val="00566A1A"/>
    <w:rsid w:val="00570C00"/>
    <w:rsid w:val="005724D8"/>
    <w:rsid w:val="0057698B"/>
    <w:rsid w:val="00581A16"/>
    <w:rsid w:val="00581E4D"/>
    <w:rsid w:val="0058564E"/>
    <w:rsid w:val="00587A8A"/>
    <w:rsid w:val="005A42AB"/>
    <w:rsid w:val="005C1250"/>
    <w:rsid w:val="00605A37"/>
    <w:rsid w:val="00634487"/>
    <w:rsid w:val="00635969"/>
    <w:rsid w:val="00636076"/>
    <w:rsid w:val="00646221"/>
    <w:rsid w:val="00654965"/>
    <w:rsid w:val="00674CF9"/>
    <w:rsid w:val="00676799"/>
    <w:rsid w:val="00692F0D"/>
    <w:rsid w:val="006A7AEF"/>
    <w:rsid w:val="006B1D75"/>
    <w:rsid w:val="006C6D8B"/>
    <w:rsid w:val="006D2E40"/>
    <w:rsid w:val="006E18E7"/>
    <w:rsid w:val="006E540B"/>
    <w:rsid w:val="007078D4"/>
    <w:rsid w:val="007223AA"/>
    <w:rsid w:val="00735387"/>
    <w:rsid w:val="00740DE2"/>
    <w:rsid w:val="00744A16"/>
    <w:rsid w:val="0076177C"/>
    <w:rsid w:val="00765BC8"/>
    <w:rsid w:val="0077458D"/>
    <w:rsid w:val="007828DF"/>
    <w:rsid w:val="0079581D"/>
    <w:rsid w:val="007A5E70"/>
    <w:rsid w:val="007B2392"/>
    <w:rsid w:val="007B555B"/>
    <w:rsid w:val="007B6A67"/>
    <w:rsid w:val="007B7FA7"/>
    <w:rsid w:val="007C11EB"/>
    <w:rsid w:val="007D227C"/>
    <w:rsid w:val="007E1964"/>
    <w:rsid w:val="007E7755"/>
    <w:rsid w:val="007F00B5"/>
    <w:rsid w:val="00802D76"/>
    <w:rsid w:val="00806779"/>
    <w:rsid w:val="00806999"/>
    <w:rsid w:val="00821796"/>
    <w:rsid w:val="0082607A"/>
    <w:rsid w:val="008359FC"/>
    <w:rsid w:val="0083778C"/>
    <w:rsid w:val="008B40B9"/>
    <w:rsid w:val="008E5E67"/>
    <w:rsid w:val="008F1FCF"/>
    <w:rsid w:val="009325BB"/>
    <w:rsid w:val="00940554"/>
    <w:rsid w:val="0096455D"/>
    <w:rsid w:val="009A77CB"/>
    <w:rsid w:val="009B0902"/>
    <w:rsid w:val="009C0A46"/>
    <w:rsid w:val="00A00790"/>
    <w:rsid w:val="00A11300"/>
    <w:rsid w:val="00A1423C"/>
    <w:rsid w:val="00A210E0"/>
    <w:rsid w:val="00A35DDA"/>
    <w:rsid w:val="00A7665C"/>
    <w:rsid w:val="00AB6ABF"/>
    <w:rsid w:val="00AD6125"/>
    <w:rsid w:val="00AD6A59"/>
    <w:rsid w:val="00B016A8"/>
    <w:rsid w:val="00B03870"/>
    <w:rsid w:val="00B07F34"/>
    <w:rsid w:val="00B12666"/>
    <w:rsid w:val="00B30CF4"/>
    <w:rsid w:val="00B6742C"/>
    <w:rsid w:val="00B879B9"/>
    <w:rsid w:val="00B9252C"/>
    <w:rsid w:val="00BB5BA0"/>
    <w:rsid w:val="00BC02B1"/>
    <w:rsid w:val="00BC4440"/>
    <w:rsid w:val="00BC5849"/>
    <w:rsid w:val="00BE36ED"/>
    <w:rsid w:val="00BE4C47"/>
    <w:rsid w:val="00C05E3E"/>
    <w:rsid w:val="00C133E7"/>
    <w:rsid w:val="00C2277F"/>
    <w:rsid w:val="00C525C7"/>
    <w:rsid w:val="00C633F0"/>
    <w:rsid w:val="00C85266"/>
    <w:rsid w:val="00C927AA"/>
    <w:rsid w:val="00C93014"/>
    <w:rsid w:val="00CB2BDF"/>
    <w:rsid w:val="00CC25D7"/>
    <w:rsid w:val="00CE6AFB"/>
    <w:rsid w:val="00CF3DF0"/>
    <w:rsid w:val="00D026C7"/>
    <w:rsid w:val="00D13444"/>
    <w:rsid w:val="00D16383"/>
    <w:rsid w:val="00D5497C"/>
    <w:rsid w:val="00D9129F"/>
    <w:rsid w:val="00DA18F8"/>
    <w:rsid w:val="00DC565C"/>
    <w:rsid w:val="00DD5873"/>
    <w:rsid w:val="00DE1C6C"/>
    <w:rsid w:val="00DE5B65"/>
    <w:rsid w:val="00DF4495"/>
    <w:rsid w:val="00E0643A"/>
    <w:rsid w:val="00E246C7"/>
    <w:rsid w:val="00E55D80"/>
    <w:rsid w:val="00E57751"/>
    <w:rsid w:val="00E61B6F"/>
    <w:rsid w:val="00E80D3A"/>
    <w:rsid w:val="00E82FC5"/>
    <w:rsid w:val="00E96B3A"/>
    <w:rsid w:val="00EE2AA4"/>
    <w:rsid w:val="00EE45FF"/>
    <w:rsid w:val="00EF3CA2"/>
    <w:rsid w:val="00F05FE1"/>
    <w:rsid w:val="00F4526A"/>
    <w:rsid w:val="00F50EE3"/>
    <w:rsid w:val="00F70B73"/>
    <w:rsid w:val="00F7727E"/>
    <w:rsid w:val="00F96D1E"/>
    <w:rsid w:val="00FA2439"/>
    <w:rsid w:val="00FB3A71"/>
    <w:rsid w:val="00FC2F8B"/>
    <w:rsid w:val="00FC484B"/>
    <w:rsid w:val="00FD0A90"/>
    <w:rsid w:val="00FD1A5A"/>
    <w:rsid w:val="00FD2FFD"/>
    <w:rsid w:val="59810E18"/>
    <w:rsid w:val="68420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2"/>
    <w:semiHidden/>
    <w:unhideWhenUsed/>
    <w:qFormat/>
    <w:uiPriority w:val="9"/>
    <w:pPr>
      <w:keepNext/>
      <w:keepLines/>
      <w:spacing w:before="260" w:after="260" w:line="416" w:lineRule="auto"/>
      <w:outlineLvl w:val="2"/>
    </w:pPr>
    <w:rPr>
      <w:b/>
      <w:bCs/>
      <w:sz w:val="32"/>
      <w:szCs w:val="32"/>
    </w:rPr>
  </w:style>
  <w:style w:type="character" w:default="1" w:styleId="6">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21"/>
    <w:unhideWhenUsed/>
    <w:qFormat/>
    <w:uiPriority w:val="99"/>
    <w:pPr>
      <w:tabs>
        <w:tab w:val="center" w:pos="4153"/>
        <w:tab w:val="right" w:pos="8306"/>
      </w:tabs>
      <w:snapToGrid w:val="0"/>
      <w:jc w:val="left"/>
    </w:pPr>
    <w:rPr>
      <w:sz w:val="18"/>
      <w:szCs w:val="18"/>
    </w:rPr>
  </w:style>
  <w:style w:type="paragraph" w:styleId="4">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翊诚1级"/>
    <w:basedOn w:val="8"/>
    <w:link w:val="9"/>
    <w:qFormat/>
    <w:uiPriority w:val="0"/>
    <w:pPr>
      <w:widowControl/>
      <w:numPr>
        <w:ilvl w:val="0"/>
        <w:numId w:val="1"/>
      </w:numPr>
      <w:snapToGrid w:val="0"/>
      <w:spacing w:line="560" w:lineRule="exact"/>
      <w:ind w:firstLineChars="0"/>
      <w:jc w:val="left"/>
      <w:textAlignment w:val="center"/>
      <w:outlineLvl w:val="0"/>
    </w:pPr>
    <w:rPr>
      <w:rFonts w:ascii="Times New Roman" w:hAnsi="Times New Roman" w:eastAsia="黑体" w:cs="Times New Roman"/>
      <w:sz w:val="28"/>
      <w:szCs w:val="24"/>
    </w:rPr>
  </w:style>
  <w:style w:type="paragraph" w:styleId="8">
    <w:name w:val="List Paragraph"/>
    <w:basedOn w:val="1"/>
    <w:qFormat/>
    <w:uiPriority w:val="34"/>
    <w:pPr>
      <w:ind w:firstLine="420" w:firstLineChars="200"/>
    </w:pPr>
  </w:style>
  <w:style w:type="character" w:customStyle="1" w:styleId="9">
    <w:name w:val="翊诚1级 字符"/>
    <w:basedOn w:val="6"/>
    <w:link w:val="7"/>
    <w:autoRedefine/>
    <w:qFormat/>
    <w:uiPriority w:val="0"/>
    <w:rPr>
      <w:rFonts w:ascii="Times New Roman" w:hAnsi="Times New Roman" w:eastAsia="黑体" w:cs="Times New Roman"/>
      <w:sz w:val="28"/>
      <w:szCs w:val="24"/>
    </w:rPr>
  </w:style>
  <w:style w:type="paragraph" w:customStyle="1" w:styleId="10">
    <w:name w:val="翊诚2级"/>
    <w:basedOn w:val="8"/>
    <w:link w:val="11"/>
    <w:qFormat/>
    <w:uiPriority w:val="0"/>
    <w:pPr>
      <w:widowControl/>
      <w:numPr>
        <w:ilvl w:val="1"/>
        <w:numId w:val="1"/>
      </w:numPr>
      <w:snapToGrid w:val="0"/>
      <w:spacing w:line="560" w:lineRule="exact"/>
      <w:ind w:firstLineChars="0"/>
      <w:jc w:val="left"/>
      <w:textAlignment w:val="center"/>
      <w:outlineLvl w:val="1"/>
    </w:pPr>
    <w:rPr>
      <w:rFonts w:ascii="Times New Roman" w:hAnsi="Times New Roman" w:eastAsia="宋体" w:cs="Times New Roman"/>
      <w:sz w:val="28"/>
      <w:szCs w:val="24"/>
    </w:rPr>
  </w:style>
  <w:style w:type="character" w:customStyle="1" w:styleId="11">
    <w:name w:val="翊诚2级 字符"/>
    <w:basedOn w:val="6"/>
    <w:link w:val="10"/>
    <w:autoRedefine/>
    <w:qFormat/>
    <w:uiPriority w:val="0"/>
    <w:rPr>
      <w:rFonts w:ascii="Times New Roman" w:hAnsi="Times New Roman" w:eastAsia="宋体" w:cs="Times New Roman"/>
      <w:sz w:val="28"/>
      <w:szCs w:val="24"/>
    </w:rPr>
  </w:style>
  <w:style w:type="paragraph" w:customStyle="1" w:styleId="12">
    <w:name w:val="翊诚3级"/>
    <w:basedOn w:val="8"/>
    <w:link w:val="13"/>
    <w:qFormat/>
    <w:uiPriority w:val="0"/>
    <w:pPr>
      <w:widowControl/>
      <w:numPr>
        <w:ilvl w:val="2"/>
        <w:numId w:val="1"/>
      </w:numPr>
      <w:snapToGrid w:val="0"/>
      <w:spacing w:line="560" w:lineRule="exact"/>
      <w:ind w:firstLineChars="0"/>
      <w:jc w:val="left"/>
      <w:textAlignment w:val="center"/>
      <w:outlineLvl w:val="2"/>
    </w:pPr>
    <w:rPr>
      <w:rFonts w:ascii="Times New Roman" w:hAnsi="Times New Roman" w:eastAsia="宋体" w:cs="微软雅黑"/>
      <w:sz w:val="28"/>
      <w:szCs w:val="24"/>
    </w:rPr>
  </w:style>
  <w:style w:type="character" w:customStyle="1" w:styleId="13">
    <w:name w:val="翊诚3级 字符"/>
    <w:basedOn w:val="6"/>
    <w:link w:val="12"/>
    <w:autoRedefine/>
    <w:qFormat/>
    <w:uiPriority w:val="0"/>
    <w:rPr>
      <w:rFonts w:ascii="Times New Roman" w:hAnsi="Times New Roman" w:eastAsia="宋体" w:cs="微软雅黑"/>
      <w:sz w:val="28"/>
      <w:szCs w:val="24"/>
    </w:rPr>
  </w:style>
  <w:style w:type="paragraph" w:customStyle="1" w:styleId="14">
    <w:name w:val="翊诚4级"/>
    <w:basedOn w:val="1"/>
    <w:link w:val="15"/>
    <w:qFormat/>
    <w:uiPriority w:val="0"/>
    <w:pPr>
      <w:numPr>
        <w:ilvl w:val="3"/>
        <w:numId w:val="1"/>
      </w:numPr>
      <w:kinsoku w:val="0"/>
      <w:autoSpaceDE w:val="0"/>
      <w:autoSpaceDN w:val="0"/>
      <w:snapToGrid w:val="0"/>
      <w:spacing w:line="500" w:lineRule="exact"/>
      <w:ind w:firstLine="200" w:firstLineChars="200"/>
      <w:jc w:val="left"/>
      <w:textAlignment w:val="center"/>
      <w:outlineLvl w:val="3"/>
    </w:pPr>
    <w:rPr>
      <w:rFonts w:ascii="Times New Roman" w:hAnsi="Times New Roman" w:eastAsia="宋体" w:cs="Times New Roman"/>
      <w:sz w:val="24"/>
      <w:szCs w:val="21"/>
    </w:rPr>
  </w:style>
  <w:style w:type="character" w:customStyle="1" w:styleId="15">
    <w:name w:val="翊诚4级 字符"/>
    <w:basedOn w:val="6"/>
    <w:link w:val="14"/>
    <w:autoRedefine/>
    <w:qFormat/>
    <w:uiPriority w:val="0"/>
    <w:rPr>
      <w:rFonts w:ascii="Times New Roman" w:hAnsi="Times New Roman" w:eastAsia="宋体" w:cs="Times New Roman"/>
      <w:sz w:val="24"/>
      <w:szCs w:val="21"/>
    </w:rPr>
  </w:style>
  <w:style w:type="paragraph" w:customStyle="1" w:styleId="16">
    <w:name w:val="翊诚正文"/>
    <w:basedOn w:val="1"/>
    <w:link w:val="17"/>
    <w:qFormat/>
    <w:uiPriority w:val="0"/>
    <w:pPr>
      <w:widowControl/>
      <w:snapToGrid w:val="0"/>
      <w:spacing w:line="560" w:lineRule="exact"/>
      <w:ind w:firstLine="480" w:firstLineChars="200"/>
      <w:jc w:val="left"/>
      <w:textAlignment w:val="center"/>
    </w:pPr>
    <w:rPr>
      <w:rFonts w:ascii="Times New Roman" w:hAnsi="Times New Roman" w:eastAsia="宋体" w:cs="Times New Roman"/>
      <w:sz w:val="24"/>
      <w:szCs w:val="28"/>
    </w:rPr>
  </w:style>
  <w:style w:type="character" w:customStyle="1" w:styleId="17">
    <w:name w:val="翊诚正文 字符"/>
    <w:basedOn w:val="6"/>
    <w:link w:val="16"/>
    <w:autoRedefine/>
    <w:qFormat/>
    <w:uiPriority w:val="0"/>
    <w:rPr>
      <w:rFonts w:ascii="Times New Roman" w:hAnsi="Times New Roman" w:eastAsia="宋体" w:cs="Times New Roman"/>
      <w:sz w:val="24"/>
      <w:szCs w:val="28"/>
    </w:rPr>
  </w:style>
  <w:style w:type="paragraph" w:customStyle="1" w:styleId="18">
    <w:name w:val="翊诚注释"/>
    <w:basedOn w:val="1"/>
    <w:link w:val="19"/>
    <w:qFormat/>
    <w:uiPriority w:val="0"/>
    <w:pPr>
      <w:widowControl/>
      <w:snapToGrid w:val="0"/>
      <w:spacing w:line="300" w:lineRule="exact"/>
      <w:ind w:firstLine="420" w:firstLineChars="200"/>
      <w:jc w:val="left"/>
      <w:textAlignment w:val="center"/>
    </w:pPr>
    <w:rPr>
      <w:rFonts w:ascii="宋体" w:hAnsi="宋体" w:eastAsia="宋体" w:cs="Times New Roman"/>
      <w:kern w:val="0"/>
      <w:szCs w:val="24"/>
    </w:rPr>
  </w:style>
  <w:style w:type="character" w:customStyle="1" w:styleId="19">
    <w:name w:val="翊诚注释 字符"/>
    <w:basedOn w:val="6"/>
    <w:link w:val="18"/>
    <w:autoRedefine/>
    <w:qFormat/>
    <w:uiPriority w:val="0"/>
    <w:rPr>
      <w:rFonts w:ascii="宋体" w:hAnsi="宋体" w:eastAsia="宋体" w:cs="Times New Roman"/>
      <w:kern w:val="0"/>
      <w:szCs w:val="24"/>
    </w:rPr>
  </w:style>
  <w:style w:type="character" w:customStyle="1" w:styleId="20">
    <w:name w:val="页眉 字符"/>
    <w:basedOn w:val="6"/>
    <w:link w:val="4"/>
    <w:qFormat/>
    <w:uiPriority w:val="99"/>
    <w:rPr>
      <w:sz w:val="18"/>
      <w:szCs w:val="18"/>
    </w:rPr>
  </w:style>
  <w:style w:type="character" w:customStyle="1" w:styleId="21">
    <w:name w:val="页脚 字符"/>
    <w:basedOn w:val="6"/>
    <w:link w:val="3"/>
    <w:qFormat/>
    <w:uiPriority w:val="99"/>
    <w:rPr>
      <w:sz w:val="18"/>
      <w:szCs w:val="18"/>
    </w:rPr>
  </w:style>
  <w:style w:type="character" w:customStyle="1" w:styleId="22">
    <w:name w:val="标题 3 字符"/>
    <w:basedOn w:val="6"/>
    <w:link w:val="2"/>
    <w:semiHidden/>
    <w:qFormat/>
    <w:uiPriority w:val="9"/>
    <w:rPr>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4934</Words>
  <Characters>5264</Characters>
  <Lines>218</Lines>
  <Paragraphs>177</Paragraphs>
  <TotalTime>15</TotalTime>
  <ScaleCrop>false</ScaleCrop>
  <LinksUpToDate>false</LinksUpToDate>
  <CharactersWithSpaces>5324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2024-05-22T10:17:00Z</dcterms:created>
  <dc:creator>May</dc:creator>
  <cp:lastModifiedBy>May</cp:lastModifiedBy>
  <dcterms:modified xsi:type="dcterms:W3CDTF">2024-05-23T08:18:34Z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OneValuePath">
    <vt:lpwstr>C:\Users\May\Desktop\嘉鱼发改局项目自评.xlsx</vt:lpwstr>
  </property>
  <property fmtid="{D5CDD505-2E9C-101B-9397-08002B2CF9AE}" pid="3" name="AddTablePath">
    <vt:lpwstr>C:\Users\May\Desktop\嘉鱼发改局项目自评.xlsx</vt:lpwstr>
  </property>
  <property fmtid="{D5CDD505-2E9C-101B-9397-08002B2CF9AE}" pid="4" name="KSOProductBuildVer">
    <vt:lpwstr>2052-12.1.0.16929</vt:lpwstr>
  </property>
  <property fmtid="{D5CDD505-2E9C-101B-9397-08002B2CF9AE}" pid="5" name="ICV">
    <vt:lpwstr>6D5BE159D55F4360925F1972596C4573_12</vt:lpwstr>
  </property>
</Properties>
</file>