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015"/>
        <w:gridCol w:w="989"/>
        <w:gridCol w:w="1862"/>
        <w:gridCol w:w="1869"/>
        <w:gridCol w:w="1115"/>
        <w:gridCol w:w="145"/>
        <w:gridCol w:w="969"/>
        <w:gridCol w:w="15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020" w:type="dxa"/>
            <w:gridSpan w:val="9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4"/>
                <w:szCs w:val="34"/>
              </w:rPr>
              <w:t>中央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4"/>
                <w:szCs w:val="34"/>
              </w:rPr>
              <w:t xml:space="preserve">转移支付区域（项目）绩效目标自评表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020" w:type="dxa"/>
            <w:gridSpan w:val="9"/>
            <w:tcBorders>
              <w:bottom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7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农田建设补助资金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农业农村部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省财政厅、省农业农村厅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资金使用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嘉鱼县农业农村局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资金情况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预算执行率（B/A)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2900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其中：中央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财政资金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2900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00" w:firstLineChars="35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地方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资金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5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总体目标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5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总体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目标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完成省下达高标准农田建设任务</w:t>
            </w:r>
            <w:r>
              <w:rPr>
                <w:rFonts w:hAnsi="宋体"/>
                <w:color w:val="000000"/>
                <w:sz w:val="20"/>
                <w:szCs w:val="20"/>
              </w:rPr>
              <w:t>2.52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万亩，通过项目建设，有效改善项目区农田基础设施条件、提升耕地质量，提高粮食综合生产能力。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项目正稳步推进，预期</w:t>
            </w:r>
            <w:r>
              <w:rPr>
                <w:rFonts w:hAnsi="宋体"/>
                <w:color w:val="000000"/>
                <w:sz w:val="20"/>
                <w:szCs w:val="20"/>
              </w:rPr>
              <w:t>2022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年</w:t>
            </w:r>
            <w:r>
              <w:rPr>
                <w:rFonts w:hAnsi="宋体"/>
                <w:color w:val="000000"/>
                <w:sz w:val="20"/>
                <w:szCs w:val="20"/>
              </w:rPr>
              <w:t>9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月完成项目建设，工程将服务于粮食生产，推进现代农业特保障农民“粮袋子”。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全年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产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新增高标准农田面积（万亩）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.52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.52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项目验收合格率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任务完成及时性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sz w:val="20"/>
                <w:szCs w:val="20"/>
              </w:rPr>
              <w:t>1-2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财政资金亩均补助标准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≧</w:t>
            </w:r>
            <w:r>
              <w:rPr>
                <w:rFonts w:hAnsi="宋体"/>
                <w:color w:val="000000"/>
                <w:sz w:val="20"/>
                <w:szCs w:val="20"/>
              </w:rPr>
              <w:t>1200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sz w:val="20"/>
                <w:szCs w:val="20"/>
              </w:rPr>
              <w:t>2000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益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经济效益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粮食综合生产能力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明显提升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社会效益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田间道路通达度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平原地区</w:t>
            </w:r>
            <w:r>
              <w:rPr>
                <w:rFonts w:hAnsi="宋体"/>
                <w:color w:val="000000"/>
                <w:sz w:val="20"/>
                <w:szCs w:val="20"/>
              </w:rPr>
              <w:t>100%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，丘陵地区≧</w:t>
            </w:r>
            <w:r>
              <w:rPr>
                <w:rFonts w:hAnsi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平原地区</w:t>
            </w:r>
            <w:r>
              <w:rPr>
                <w:rFonts w:hAnsi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生态效益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耕地质量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逐步提升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逐步提升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水资源利用率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逐步提升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灌溉水利用率提高</w:t>
            </w:r>
            <w:r>
              <w:rPr>
                <w:rFonts w:hAnsi="宋体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受益群众满意度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zh-CN"/>
              </w:rPr>
              <w:t>≥</w:t>
            </w:r>
            <w:r>
              <w:rPr>
                <w:rFonts w:hAnsi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说明</w:t>
            </w:r>
          </w:p>
        </w:tc>
        <w:tc>
          <w:tcPr>
            <w:tcW w:w="9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无。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020" w:type="dxa"/>
            <w:gridSpan w:val="9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注：1.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资金使用单位按项目绩效目标填报，主管部门汇总时按区域绩效目标填报。</w:t>
            </w:r>
          </w:p>
          <w:p>
            <w:pPr>
              <w:widowControl/>
              <w:ind w:firstLine="360" w:firstLineChars="20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2.其他资金包括与中央财政资金、地方财政资金共同投入到同一项目的自有资金、社会资金，以及以前年度的结转结余资金等。</w:t>
            </w:r>
          </w:p>
          <w:p>
            <w:pPr>
              <w:widowControl/>
              <w:ind w:firstLine="360" w:firstLineChars="20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3.全年执行数是指按照国库集中支付制度要求所形成的实际支出。</w:t>
            </w:r>
          </w:p>
          <w:p>
            <w:pPr>
              <w:widowControl/>
              <w:ind w:firstLine="360" w:firstLineChars="20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定量指标。地方各级主管部门对资金使用单位填写的实际完成值汇总时，绝对值直接累加计算，相对值按照资金额度加权平均计算。</w:t>
            </w:r>
          </w:p>
          <w:p>
            <w:pPr>
              <w:widowControl/>
              <w:ind w:firstLine="360" w:firstLineChars="20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定性指标。资金使用单位分别按照80%-100%（含）、60%-80%（含）、0%-6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%合理填写实际完成值。地方各级主管部门汇总时，按照资金额度加权平均计算完成值。</w:t>
            </w:r>
          </w:p>
        </w:tc>
      </w:tr>
    </w:tbl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53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both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113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7852501"/>
    </w:sdtPr>
    <w:sdtContent>
      <w:p>
        <w:pPr>
          <w:pStyle w:val="2"/>
          <w:numPr>
            <w:ilvl w:val="0"/>
            <w:numId w:val="1"/>
          </w:numPr>
          <w:jc w:val="right"/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241489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numPr>
            <w:ilvl w:val="0"/>
            <w:numId w:val="2"/>
          </w:numPr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656C2"/>
    <w:multiLevelType w:val="multilevel"/>
    <w:tmpl w:val="43B656C2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9ED4247"/>
    <w:multiLevelType w:val="multilevel"/>
    <w:tmpl w:val="49ED4247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WRlMWE1MjAxZWY3OWU0MzUxNDY3YTFkMTYwNzMifQ=="/>
  </w:docVars>
  <w:rsids>
    <w:rsidRoot w:val="00D9557D"/>
    <w:rsid w:val="001A1F1D"/>
    <w:rsid w:val="001B5A78"/>
    <w:rsid w:val="007D0F74"/>
    <w:rsid w:val="00850312"/>
    <w:rsid w:val="00950602"/>
    <w:rsid w:val="00A077AB"/>
    <w:rsid w:val="00AB026B"/>
    <w:rsid w:val="00AD1F2C"/>
    <w:rsid w:val="00B7444D"/>
    <w:rsid w:val="00C1208F"/>
    <w:rsid w:val="00C277A1"/>
    <w:rsid w:val="00C302DE"/>
    <w:rsid w:val="00CD4A33"/>
    <w:rsid w:val="00CE26F7"/>
    <w:rsid w:val="00D9107B"/>
    <w:rsid w:val="00D93BA8"/>
    <w:rsid w:val="00D9557D"/>
    <w:rsid w:val="00F26DB3"/>
    <w:rsid w:val="00F51CF2"/>
    <w:rsid w:val="322A7584"/>
    <w:rsid w:val="366028D8"/>
    <w:rsid w:val="480A7008"/>
    <w:rsid w:val="63A76528"/>
    <w:rsid w:val="71A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2886</Words>
  <Characters>3333</Characters>
  <Lines>26</Lines>
  <Paragraphs>7</Paragraphs>
  <TotalTime>1</TotalTime>
  <ScaleCrop>false</ScaleCrop>
  <LinksUpToDate>false</LinksUpToDate>
  <CharactersWithSpaces>3431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2022-03-04T01:31:00Z</dcterms:created>
  <dc:creator>fx</dc:creator>
  <cp:lastModifiedBy>H</cp:lastModifiedBy>
  <dcterms:modified xsi:type="dcterms:W3CDTF">2023-02-13T09:04:16Z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4E384CA6362742618175225E15E80FF3</vt:lpwstr>
  </property>
</Properties>
</file>