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Cs w:val="44"/>
        </w:rPr>
      </w:pPr>
      <w:r>
        <w:rPr>
          <w:rFonts w:hint="eastAsia" w:ascii="黑体" w:hAnsi="黑体" w:eastAsia="黑体"/>
          <w:bCs/>
          <w:szCs w:val="44"/>
        </w:rPr>
        <w:t>附件2</w:t>
      </w: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Arial" w:hAnsi="Arial" w:eastAsia="宋体" w:cs="Arial"/>
          <w:b/>
          <w:sz w:val="36"/>
          <w:szCs w:val="44"/>
        </w:rPr>
        <w:t>202</w:t>
      </w:r>
      <w:r>
        <w:rPr>
          <w:rFonts w:hint="eastAsia" w:ascii="Arial" w:hAnsi="Arial" w:eastAsia="宋体" w:cs="Arial"/>
          <w:b/>
          <w:sz w:val="36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44"/>
        </w:rPr>
        <w:t>年度</w:t>
      </w:r>
      <w:r>
        <w:rPr>
          <w:rFonts w:hint="eastAsia" w:ascii="Arial" w:hAnsi="Arial" w:eastAsia="宋体" w:cs="Arial"/>
          <w:b/>
          <w:sz w:val="36"/>
          <w:szCs w:val="44"/>
        </w:rPr>
        <w:t>嘉鱼县财政项目支出</w:t>
      </w:r>
    </w:p>
    <w:p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绩效自评报告</w:t>
      </w:r>
    </w:p>
    <w:p>
      <w:pPr>
        <w:jc w:val="center"/>
        <w:rPr>
          <w:rFonts w:ascii="仿宋_GB2312" w:hAnsi="华文中宋"/>
          <w:bCs/>
          <w:szCs w:val="32"/>
        </w:rPr>
      </w:pPr>
      <w:r>
        <w:rPr>
          <w:rFonts w:hint="eastAsia" w:ascii="仿宋_GB2312"/>
          <w:bCs/>
          <w:szCs w:val="32"/>
        </w:rPr>
        <w:t>（参考提纲）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一、基本情况</w:t>
      </w:r>
    </w:p>
    <w:p>
      <w:pPr>
        <w:spacing w:line="560" w:lineRule="exact"/>
        <w:ind w:firstLine="640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 w:val="32"/>
          <w:szCs w:val="30"/>
        </w:rPr>
        <w:t>省财政厅拨付我县2023年中央水库移民扶持基金预算</w:t>
      </w:r>
      <w:r>
        <w:rPr>
          <w:rFonts w:hint="eastAsia" w:ascii="仿宋_GB2312" w:hAnsi="仿宋_GB2312" w:cs="仿宋_GB2312"/>
          <w:sz w:val="32"/>
          <w:szCs w:val="30"/>
          <w:lang w:val="en-US" w:eastAsia="zh-CN"/>
        </w:rPr>
        <w:t>573万元、</w:t>
      </w:r>
      <w:r>
        <w:rPr>
          <w:rFonts w:hint="eastAsia" w:ascii="仿宋_GB2312" w:hAnsi="仿宋_GB2312" w:cs="仿宋_GB2312"/>
          <w:sz w:val="32"/>
          <w:szCs w:val="30"/>
        </w:rPr>
        <w:t>2023年中央大中型水库移民后期扶持资金预算</w:t>
      </w:r>
      <w:r>
        <w:rPr>
          <w:rFonts w:hint="eastAsia" w:ascii="仿宋_GB2312" w:hAnsi="仿宋_GB2312" w:cs="仿宋_GB2312"/>
          <w:sz w:val="32"/>
          <w:szCs w:val="30"/>
          <w:lang w:val="en-US" w:eastAsia="zh-CN"/>
        </w:rPr>
        <w:t>621</w:t>
      </w:r>
      <w:r>
        <w:rPr>
          <w:rFonts w:hint="eastAsia" w:ascii="仿宋_GB2312" w:hAnsi="仿宋_GB2312" w:cs="仿宋_GB2312"/>
          <w:sz w:val="32"/>
          <w:szCs w:val="30"/>
        </w:rPr>
        <w:t>万元</w:t>
      </w:r>
      <w:r>
        <w:rPr>
          <w:rFonts w:hint="eastAsia" w:ascii="仿宋_GB2312" w:hAnsi="仿宋_GB2312" w:cs="仿宋_GB2312"/>
          <w:sz w:val="32"/>
          <w:szCs w:val="30"/>
          <w:lang w:val="en-US" w:eastAsia="zh-CN"/>
        </w:rPr>
        <w:t>和</w:t>
      </w:r>
      <w:r>
        <w:rPr>
          <w:rFonts w:hint="eastAsia" w:ascii="仿宋_GB2312" w:hAnsi="仿宋_GB2312" w:cs="仿宋_GB2312"/>
          <w:sz w:val="32"/>
          <w:szCs w:val="30"/>
        </w:rPr>
        <w:t>2023年中央水库移民扶持基金预算</w:t>
      </w:r>
      <w:r>
        <w:rPr>
          <w:rFonts w:hint="eastAsia" w:ascii="仿宋_GB2312" w:hAnsi="仿宋_GB2312" w:cs="仿宋_GB2312"/>
          <w:sz w:val="32"/>
          <w:szCs w:val="30"/>
          <w:lang w:val="en-US" w:eastAsia="zh-CN"/>
        </w:rPr>
        <w:t>351万元</w:t>
      </w:r>
      <w:r>
        <w:rPr>
          <w:rFonts w:hint="eastAsia" w:ascii="仿宋_GB2312" w:hAnsi="仿宋_GB2312" w:cs="仿宋_GB2312"/>
          <w:sz w:val="32"/>
          <w:szCs w:val="30"/>
        </w:rPr>
        <w:t>，用于</w:t>
      </w:r>
      <w:r>
        <w:rPr>
          <w:rFonts w:hint="eastAsia" w:ascii="仿宋_GB2312" w:hAnsi="仿宋_GB2312" w:cs="仿宋_GB2312"/>
          <w:sz w:val="32"/>
          <w:szCs w:val="30"/>
          <w:lang w:val="en-US" w:eastAsia="zh-CN"/>
        </w:rPr>
        <w:t>我县直补资金发放、加强库区和移民安置区帮扶力度以及项目建设</w:t>
      </w:r>
      <w:r>
        <w:rPr>
          <w:rFonts w:hint="eastAsia" w:ascii="仿宋_GB2312" w:hAnsi="仿宋_GB2312" w:cs="仿宋_GB2312"/>
          <w:sz w:val="32"/>
          <w:szCs w:val="30"/>
        </w:rPr>
        <w:t>。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二、绩效自评工作开展情况</w:t>
      </w:r>
    </w:p>
    <w:p>
      <w:pPr>
        <w:ind w:firstLine="640" w:firstLineChars="200"/>
        <w:rPr>
          <w:rFonts w:hint="eastAsia" w:ascii="仿宋_GB2312" w:hAnsi="仿宋_GB2312" w:cs="仿宋_GB2312"/>
          <w:sz w:val="32"/>
          <w:szCs w:val="30"/>
        </w:rPr>
      </w:pPr>
      <w:r>
        <w:rPr>
          <w:rFonts w:hint="eastAsia" w:ascii="仿宋_GB2312" w:hAnsi="仿宋_GB2312" w:cs="仿宋_GB2312"/>
          <w:sz w:val="32"/>
          <w:szCs w:val="30"/>
          <w:lang w:val="en-US" w:eastAsia="zh-CN"/>
        </w:rPr>
        <w:t>我局财政项目支出绩效评价工作小组</w:t>
      </w:r>
      <w:r>
        <w:rPr>
          <w:rFonts w:hint="eastAsia" w:ascii="仿宋_GB2312" w:hAnsi="仿宋_GB2312" w:cs="仿宋_GB2312"/>
          <w:sz w:val="32"/>
          <w:szCs w:val="30"/>
        </w:rPr>
        <w:t>通过定期不定期现场实地察看以及检查项目资料开展绩效自评工作，县水利和湖泊局组织项目主管股室参与验收，对工程实施过程、资料收集、财务结算等进行评价，最终形成自评报告。</w:t>
      </w:r>
    </w:p>
    <w:p>
      <w:pPr>
        <w:ind w:firstLine="600" w:firstLineChars="20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三、综合评价结论</w:t>
      </w:r>
    </w:p>
    <w:p>
      <w:pPr>
        <w:spacing w:line="576" w:lineRule="exact"/>
        <w:ind w:firstLine="640"/>
        <w:rPr>
          <w:rFonts w:hint="default" w:ascii="黑体" w:hAnsi="黑体" w:eastAsia="仿宋_GB2312" w:cs="黑体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28"/>
        </w:rPr>
        <w:t>总体来看，较好地完成了</w:t>
      </w:r>
      <w:r>
        <w:rPr>
          <w:rFonts w:hint="eastAsia" w:ascii="仿宋_GB2312" w:hAnsi="仿宋_GB2312" w:cs="仿宋_GB2312"/>
          <w:sz w:val="32"/>
          <w:szCs w:val="30"/>
        </w:rPr>
        <w:t>2023年大中型水库移民后期扶持资金</w:t>
      </w:r>
      <w:r>
        <w:rPr>
          <w:rFonts w:hint="eastAsia" w:ascii="仿宋_GB2312" w:hAnsi="仿宋_GB2312" w:cs="仿宋_GB2312"/>
          <w:sz w:val="32"/>
          <w:szCs w:val="28"/>
        </w:rPr>
        <w:t>项目工作计划和年度绩效目标。项目实施符合</w:t>
      </w:r>
      <w:r>
        <w:rPr>
          <w:rFonts w:hint="eastAsia" w:ascii="仿宋_GB2312" w:hAnsi="仿宋_GB2312" w:cs="仿宋_GB2312"/>
          <w:sz w:val="32"/>
          <w:szCs w:val="28"/>
          <w:lang w:val="en-US" w:eastAsia="zh-CN"/>
        </w:rPr>
        <w:t>要求</w:t>
      </w:r>
      <w:r>
        <w:rPr>
          <w:rFonts w:hint="eastAsia" w:ascii="仿宋_GB2312" w:hAnsi="仿宋_GB2312" w:cs="仿宋_GB2312"/>
          <w:sz w:val="32"/>
          <w:szCs w:val="28"/>
        </w:rPr>
        <w:t>，立项规范，绩效目标基本合理；项目管理制度基本健全，总体执行有效，支出合规，质量可控；项目产出良好，效益较为显著，受益群众满意度达到</w:t>
      </w:r>
      <w:r>
        <w:rPr>
          <w:rFonts w:ascii="仿宋_GB2312" w:hAnsi="仿宋_GB2312" w:cs="仿宋_GB2312"/>
          <w:sz w:val="32"/>
          <w:szCs w:val="28"/>
          <w:highlight w:val="none"/>
        </w:rPr>
        <w:t>9</w:t>
      </w:r>
      <w:r>
        <w:rPr>
          <w:rFonts w:hint="eastAsia" w:ascii="仿宋_GB2312" w:hAnsi="仿宋_GB2312" w:cs="仿宋_GB2312"/>
          <w:sz w:val="32"/>
          <w:szCs w:val="28"/>
          <w:highlight w:val="none"/>
          <w:lang w:val="en-US" w:eastAsia="zh-CN"/>
        </w:rPr>
        <w:t>9</w:t>
      </w:r>
      <w:r>
        <w:rPr>
          <w:rFonts w:ascii="仿宋_GB2312" w:hAnsi="仿宋_GB2312" w:cs="仿宋_GB2312"/>
          <w:sz w:val="32"/>
          <w:szCs w:val="28"/>
          <w:highlight w:val="none"/>
        </w:rPr>
        <w:t>%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>。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四、绩效目标实现情况分析</w:t>
      </w:r>
    </w:p>
    <w:p>
      <w:pPr>
        <w:ind w:firstLine="602" w:firstLineChars="200"/>
        <w:outlineLvl w:val="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（一）项目资金情况分析。</w:t>
      </w:r>
    </w:p>
    <w:p>
      <w:pPr>
        <w:ind w:firstLine="60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1.项目资金到位情况分析。</w:t>
      </w:r>
    </w:p>
    <w:tbl>
      <w:tblPr>
        <w:tblStyle w:val="5"/>
        <w:tblpPr w:leftFromText="180" w:rightFromText="180" w:vertAnchor="text" w:horzAnchor="page" w:tblpX="1903" w:tblpY="486"/>
        <w:tblOverlap w:val="never"/>
        <w:tblW w:w="7867" w:type="dxa"/>
        <w:tblInd w:w="0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80"/>
        <w:gridCol w:w="2055"/>
        <w:gridCol w:w="2547"/>
        <w:gridCol w:w="1485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1" w:hRule="atLeast"/>
          <w:tblHeader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kern w:val="0"/>
                <w:sz w:val="20"/>
                <w:szCs w:val="20"/>
              </w:rPr>
              <w:t>分类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财政到位资金（万元）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财政资金到位率（%）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8" w:hRule="atLeast"/>
          <w:tblHeader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中央财政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资金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小计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官桥镇雨污分流项目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986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986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100</w:t>
            </w:r>
          </w:p>
        </w:tc>
      </w:tr>
    </w:tbl>
    <w:p>
      <w:pPr>
        <w:ind w:firstLine="600" w:firstLineChars="200"/>
        <w:rPr>
          <w:rFonts w:hint="eastAsia" w:ascii="仿宋_GB2312"/>
          <w:szCs w:val="32"/>
        </w:rPr>
      </w:pPr>
    </w:p>
    <w:p>
      <w:pPr>
        <w:ind w:firstLine="60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2.项目资金执行情况分析。</w:t>
      </w:r>
    </w:p>
    <w:p>
      <w:pPr>
        <w:ind w:firstLine="60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Times New Roman" w:cs="Times New Roman"/>
          <w:szCs w:val="32"/>
          <w:lang w:val="en-US" w:eastAsia="zh-CN"/>
        </w:rPr>
        <w:t>2023年大中型水库移民后期扶持资金</w:t>
      </w:r>
      <w:r>
        <w:rPr>
          <w:rFonts w:hint="eastAsia" w:ascii="仿宋_GB2312"/>
          <w:szCs w:val="32"/>
          <w:lang w:val="en-US" w:eastAsia="zh-CN"/>
        </w:rPr>
        <w:t>全部完成，</w:t>
      </w:r>
      <w:r>
        <w:rPr>
          <w:rFonts w:hint="eastAsia" w:ascii="仿宋" w:hAnsi="仿宋" w:eastAsia="仿宋" w:cs="仿宋"/>
          <w:sz w:val="32"/>
          <w:szCs w:val="32"/>
        </w:rPr>
        <w:t>资金拨付率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0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3.项目资金管理情况分析。</w:t>
      </w:r>
    </w:p>
    <w:p>
      <w:pPr>
        <w:adjustRightInd w:val="0"/>
        <w:snapToGrid w:val="0"/>
        <w:spacing w:line="576" w:lineRule="exact"/>
        <w:ind w:firstLine="640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 w:val="32"/>
          <w:szCs w:val="30"/>
        </w:rPr>
        <w:t>严格执行《</w:t>
      </w:r>
      <w:r>
        <w:rPr>
          <w:rFonts w:hint="eastAsia" w:ascii="仿宋_GB2312" w:hAnsi="仿宋_GB2312" w:cs="仿宋_GB2312"/>
          <w:sz w:val="32"/>
          <w:szCs w:val="30"/>
          <w:lang w:val="en-US" w:eastAsia="zh-CN"/>
        </w:rPr>
        <w:t>湖北省大中型水库移民后期扶持项目管理办法</w:t>
      </w:r>
      <w:r>
        <w:rPr>
          <w:rFonts w:hint="eastAsia" w:ascii="仿宋_GB2312" w:hAnsi="仿宋_GB2312" w:cs="仿宋_GB2312"/>
          <w:sz w:val="32"/>
          <w:szCs w:val="30"/>
        </w:rPr>
        <w:t>》，工程在完工后，施工方先自验自收，然后</w:t>
      </w:r>
      <w:r>
        <w:rPr>
          <w:rFonts w:hint="eastAsia" w:ascii="仿宋_GB2312" w:hAnsi="仿宋_GB2312" w:cs="仿宋_GB2312"/>
          <w:sz w:val="32"/>
          <w:szCs w:val="30"/>
          <w:lang w:val="en-US" w:eastAsia="zh-CN"/>
        </w:rPr>
        <w:t>经我局</w:t>
      </w:r>
      <w:r>
        <w:rPr>
          <w:rFonts w:hint="eastAsia" w:ascii="仿宋_GB2312" w:hAnsi="仿宋_GB2312" w:cs="仿宋_GB2312"/>
          <w:sz w:val="32"/>
          <w:szCs w:val="30"/>
        </w:rPr>
        <w:t>审计后再拨付资金，项目资金符合项目预算批复或合同规定的用途、标准、计划金额，不存在截留、挤占、挪用、虚列支出等情况。</w:t>
      </w:r>
    </w:p>
    <w:p>
      <w:pPr>
        <w:ind w:firstLine="602" w:firstLineChars="200"/>
        <w:outlineLvl w:val="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（二）项目绩效指标完成情况分析。</w:t>
      </w:r>
    </w:p>
    <w:p>
      <w:pPr>
        <w:ind w:firstLine="60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1.产出指标完成情况分析。</w:t>
      </w:r>
    </w:p>
    <w:p>
      <w:pPr>
        <w:ind w:firstLine="60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该项目已按时完工，并完成资金拨付。</w:t>
      </w:r>
    </w:p>
    <w:p>
      <w:pPr>
        <w:ind w:firstLine="60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2.效益指标完成情况分析。</w:t>
      </w:r>
    </w:p>
    <w:p>
      <w:pPr>
        <w:ind w:firstLine="60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增加当地移民可支配收入数、完成生产开发及配套设施建设项目18个。</w:t>
      </w:r>
    </w:p>
    <w:p>
      <w:pPr>
        <w:ind w:firstLine="60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3.满意度指标完成情况分析。</w:t>
      </w:r>
    </w:p>
    <w:p>
      <w:pPr>
        <w:ind w:firstLine="600" w:firstLineChars="200"/>
        <w:rPr>
          <w:rFonts w:hint="eastAsia" w:ascii="仿宋_GB2312"/>
          <w:szCs w:val="32"/>
        </w:rPr>
      </w:pPr>
      <w:r>
        <w:rPr>
          <w:rFonts w:hint="eastAsia" w:ascii="仿宋_GB2312" w:hAnsi="Times New Roman" w:cs="Times New Roman"/>
          <w:szCs w:val="32"/>
          <w:lang w:val="en-US" w:eastAsia="zh-CN"/>
        </w:rPr>
        <w:t>受益群众的满意度达到</w:t>
      </w:r>
      <w:r>
        <w:rPr>
          <w:rFonts w:hint="eastAsia" w:ascii="仿宋_GB2312" w:cs="Times New Roman"/>
          <w:szCs w:val="32"/>
          <w:lang w:val="en-US" w:eastAsia="zh-CN"/>
        </w:rPr>
        <w:t>9</w:t>
      </w:r>
      <w:r>
        <w:rPr>
          <w:rFonts w:hint="eastAsia" w:ascii="仿宋_GB2312" w:hAnsi="Times New Roman" w:cs="Times New Roman"/>
          <w:szCs w:val="32"/>
          <w:lang w:val="en-US" w:eastAsia="zh-CN"/>
        </w:rPr>
        <w:t>0%以上。</w:t>
      </w:r>
    </w:p>
    <w:p>
      <w:pPr>
        <w:ind w:firstLine="600" w:firstLineChars="20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五、绩效目标未完成原因和下一步改进措施</w:t>
      </w:r>
    </w:p>
    <w:p>
      <w:pPr>
        <w:ind w:firstLine="600" w:firstLineChars="200"/>
        <w:rPr>
          <w:rFonts w:hint="eastAsia" w:ascii="仿宋_GB2312" w:cs="Times New Roman"/>
          <w:szCs w:val="32"/>
          <w:lang w:val="en-US" w:eastAsia="zh-CN"/>
        </w:rPr>
      </w:pPr>
      <w:r>
        <w:rPr>
          <w:rFonts w:hint="eastAsia" w:ascii="仿宋_GB2312" w:cs="Times New Roman"/>
          <w:szCs w:val="32"/>
          <w:lang w:val="en-US" w:eastAsia="zh-CN"/>
        </w:rPr>
        <w:t>无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六、绩效自评结果拟应用和公开情况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七、绩效自评工作的经验、问题和建议。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八、其他需说明的问题。</w:t>
      </w:r>
    </w:p>
    <w:p>
      <w:pPr>
        <w:ind w:firstLine="600" w:firstLineChars="200"/>
      </w:pPr>
    </w:p>
    <w:p>
      <w:pPr>
        <w:ind w:firstLine="600" w:firstLineChars="200"/>
        <w:rPr>
          <w:rFonts w:ascii="宋体" w:hAnsi="宋体" w:eastAsia="宋体" w:cs="宋体"/>
        </w:rPr>
      </w:pPr>
      <w:r>
        <w:rPr>
          <w:rFonts w:hint="eastAsia"/>
        </w:rPr>
        <w:t>附：202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年度嘉鱼县项目支出绩效自评表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MDhmYTQ4MmU4ZmQyYjkyNDRlNDAyMzk3NTJhNDcifQ=="/>
  </w:docVars>
  <w:rsids>
    <w:rsidRoot w:val="003227C6"/>
    <w:rsid w:val="000C4B9A"/>
    <w:rsid w:val="00115E0C"/>
    <w:rsid w:val="00131E66"/>
    <w:rsid w:val="00153394"/>
    <w:rsid w:val="002A6991"/>
    <w:rsid w:val="003227C6"/>
    <w:rsid w:val="003342FC"/>
    <w:rsid w:val="003532F3"/>
    <w:rsid w:val="003C7F3D"/>
    <w:rsid w:val="003E2D58"/>
    <w:rsid w:val="006E2DAD"/>
    <w:rsid w:val="007722F4"/>
    <w:rsid w:val="00805206"/>
    <w:rsid w:val="008B4299"/>
    <w:rsid w:val="009369AD"/>
    <w:rsid w:val="009701A0"/>
    <w:rsid w:val="00970DCD"/>
    <w:rsid w:val="00AB4ED7"/>
    <w:rsid w:val="00AD645B"/>
    <w:rsid w:val="00B30906"/>
    <w:rsid w:val="00BC393E"/>
    <w:rsid w:val="00C3431D"/>
    <w:rsid w:val="00C605D5"/>
    <w:rsid w:val="00D473C7"/>
    <w:rsid w:val="00D57A51"/>
    <w:rsid w:val="00E40E48"/>
    <w:rsid w:val="00F41E2D"/>
    <w:rsid w:val="00F86B17"/>
    <w:rsid w:val="1F682713"/>
    <w:rsid w:val="40075DDB"/>
    <w:rsid w:val="4BF37A6B"/>
    <w:rsid w:val="569B6868"/>
    <w:rsid w:val="637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812</Words>
  <Characters>859</Characters>
  <Lines>2</Lines>
  <Paragraphs>1</Paragraphs>
  <TotalTime>35</TotalTime>
  <ScaleCrop>false</ScaleCrop>
  <LinksUpToDate>false</LinksUpToDate>
  <CharactersWithSpaces>859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2018-03-23T09:11:00Z</dcterms:created>
  <dc:creator>冯妍妍/预算绩效管理处（行资处）/湖北省财政厅</dc:creator>
  <cp:lastModifiedBy>夏禹</cp:lastModifiedBy>
  <cp:lastPrinted>2018-03-29T08:09:00Z</cp:lastPrinted>
  <dcterms:modified xsi:type="dcterms:W3CDTF">2024-05-28T02:22:37Z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B1E1A12653B74588A461456ECFF5762C_13</vt:lpwstr>
  </property>
</Properties>
</file>