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A487C" w14:textId="0B10C4C2" w:rsidR="00CC3C30" w:rsidRDefault="005C41B9">
      <w:pPr>
        <w:spacing w:line="540" w:lineRule="exact"/>
        <w:jc w:val="center"/>
        <w:rPr>
          <w:rFonts w:ascii="方正小标宋简体" w:eastAsia="方正小标宋简体" w:hAnsi="仿宋" w:hint="eastAsia"/>
          <w:sz w:val="36"/>
          <w:szCs w:val="36"/>
        </w:rPr>
      </w:pPr>
      <w:r>
        <w:rPr>
          <w:rFonts w:ascii="方正小标宋简体" w:eastAsia="方正小标宋简体" w:hAnsi="仿宋" w:hint="eastAsia"/>
          <w:sz w:val="36"/>
          <w:szCs w:val="36"/>
        </w:rPr>
        <w:t>202</w:t>
      </w:r>
      <w:r w:rsidR="00FF344F">
        <w:rPr>
          <w:rFonts w:ascii="方正小标宋简体" w:eastAsia="方正小标宋简体" w:hAnsi="仿宋" w:hint="eastAsia"/>
          <w:sz w:val="36"/>
          <w:szCs w:val="36"/>
        </w:rPr>
        <w:t>4</w:t>
      </w:r>
      <w:r>
        <w:rPr>
          <w:rFonts w:ascii="方正小标宋简体" w:eastAsia="方正小标宋简体" w:hAnsi="仿宋" w:hint="eastAsia"/>
          <w:sz w:val="36"/>
          <w:szCs w:val="36"/>
        </w:rPr>
        <w:t>年度嘉鱼县文化和旅游局部门整体绩效</w:t>
      </w:r>
    </w:p>
    <w:p w14:paraId="22C09CAB" w14:textId="48504595" w:rsidR="00100E98" w:rsidRDefault="005C41B9">
      <w:pPr>
        <w:spacing w:line="540" w:lineRule="exact"/>
        <w:jc w:val="center"/>
        <w:rPr>
          <w:rFonts w:ascii="方正小标宋简体" w:eastAsia="方正小标宋简体" w:hAnsi="仿宋" w:hint="eastAsia"/>
          <w:sz w:val="36"/>
          <w:szCs w:val="36"/>
        </w:rPr>
      </w:pPr>
      <w:r>
        <w:rPr>
          <w:rFonts w:ascii="方正小标宋简体" w:eastAsia="方正小标宋简体" w:hAnsi="仿宋" w:hint="eastAsia"/>
          <w:sz w:val="36"/>
          <w:szCs w:val="36"/>
        </w:rPr>
        <w:t>自评报告</w:t>
      </w:r>
    </w:p>
    <w:p w14:paraId="524700CB" w14:textId="77777777" w:rsidR="00100E98" w:rsidRDefault="00100E98">
      <w:pPr>
        <w:spacing w:line="54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</w:p>
    <w:p w14:paraId="08F66030" w14:textId="77777777" w:rsidR="00100E98" w:rsidRDefault="005C41B9">
      <w:pPr>
        <w:numPr>
          <w:ilvl w:val="0"/>
          <w:numId w:val="1"/>
        </w:numPr>
        <w:spacing w:line="600" w:lineRule="exact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绩效自评得分情况。</w:t>
      </w:r>
    </w:p>
    <w:p w14:paraId="6ED4CF40" w14:textId="563C9418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本年部门整体绩效自评得分</w:t>
      </w:r>
      <w:r w:rsidRPr="00637249">
        <w:rPr>
          <w:rFonts w:ascii="仿宋_GB2312" w:eastAsia="仿宋_GB2312" w:hAnsi="仿宋" w:hint="eastAsia"/>
          <w:sz w:val="32"/>
          <w:szCs w:val="32"/>
        </w:rPr>
        <w:t>为</w:t>
      </w:r>
      <w:r w:rsidR="00FF344F">
        <w:rPr>
          <w:rFonts w:ascii="仿宋_GB2312" w:eastAsia="仿宋_GB2312" w:hAnsi="仿宋" w:hint="eastAsia"/>
          <w:sz w:val="32"/>
          <w:szCs w:val="32"/>
        </w:rPr>
        <w:t>96，</w:t>
      </w:r>
      <w:r w:rsidRPr="00637249">
        <w:rPr>
          <w:rFonts w:ascii="仿宋_GB2312" w:eastAsia="仿宋_GB2312" w:hAnsi="仿宋" w:hint="eastAsia"/>
          <w:sz w:val="32"/>
          <w:szCs w:val="32"/>
        </w:rPr>
        <w:t>指标全</w:t>
      </w:r>
      <w:r>
        <w:rPr>
          <w:rFonts w:ascii="仿宋_GB2312" w:eastAsia="仿宋_GB2312" w:hAnsi="仿宋" w:hint="eastAsia"/>
          <w:sz w:val="32"/>
          <w:szCs w:val="32"/>
        </w:rPr>
        <w:t>部完成且部分指标超额完成。</w:t>
      </w:r>
    </w:p>
    <w:p w14:paraId="751FC4D4" w14:textId="77777777" w:rsidR="00100E98" w:rsidRDefault="005C41B9">
      <w:pPr>
        <w:numPr>
          <w:ilvl w:val="0"/>
          <w:numId w:val="1"/>
        </w:numPr>
        <w:spacing w:line="600" w:lineRule="exact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部门职能概述</w:t>
      </w:r>
    </w:p>
    <w:p w14:paraId="5ECEFF83" w14:textId="6FA9FD7C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本年财政拨款</w:t>
      </w:r>
      <w:r w:rsidR="00FF344F">
        <w:rPr>
          <w:rFonts w:ascii="仿宋_GB2312" w:eastAsia="仿宋_GB2312" w:hAnsi="仿宋" w:hint="eastAsia"/>
          <w:sz w:val="32"/>
          <w:szCs w:val="32"/>
        </w:rPr>
        <w:t>1866.91</w:t>
      </w:r>
      <w:r w:rsidRPr="00E41AE9">
        <w:rPr>
          <w:rFonts w:ascii="仿宋_GB2312" w:eastAsia="仿宋_GB2312" w:hAnsi="仿宋" w:hint="eastAsia"/>
          <w:sz w:val="32"/>
          <w:szCs w:val="32"/>
        </w:rPr>
        <w:t>万，其中基本支出</w:t>
      </w:r>
      <w:r w:rsidR="00FF344F">
        <w:rPr>
          <w:rFonts w:ascii="仿宋_GB2312" w:eastAsia="仿宋_GB2312" w:hAnsi="仿宋" w:hint="eastAsia"/>
          <w:sz w:val="32"/>
          <w:szCs w:val="32"/>
        </w:rPr>
        <w:t>1013.17</w:t>
      </w:r>
      <w:r w:rsidRPr="00E41AE9">
        <w:rPr>
          <w:rFonts w:ascii="仿宋_GB2312" w:eastAsia="仿宋_GB2312" w:hAnsi="仿宋" w:hint="eastAsia"/>
          <w:sz w:val="32"/>
          <w:szCs w:val="32"/>
        </w:rPr>
        <w:t>万，项目支出</w:t>
      </w:r>
      <w:r w:rsidR="00FF344F">
        <w:rPr>
          <w:rFonts w:ascii="仿宋_GB2312" w:eastAsia="仿宋_GB2312" w:hAnsi="仿宋" w:hint="eastAsia"/>
          <w:sz w:val="32"/>
          <w:szCs w:val="32"/>
        </w:rPr>
        <w:t>853.74</w:t>
      </w:r>
      <w:r w:rsidRPr="00E41AE9">
        <w:rPr>
          <w:rFonts w:ascii="仿宋_GB2312" w:eastAsia="仿宋_GB2312" w:hAnsi="仿宋" w:hint="eastAsia"/>
          <w:sz w:val="32"/>
          <w:szCs w:val="32"/>
        </w:rPr>
        <w:t>万。</w:t>
      </w:r>
    </w:p>
    <w:p w14:paraId="462D203A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（一）贯彻落实党的文化工作方针政策和相关法律法规，研究拟定文化和旅游、体育、广播电视等方面的相关措施。</w:t>
      </w:r>
    </w:p>
    <w:p w14:paraId="4C3A3087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（二）统筹全县文化和旅游、广播电视、体育事业及相关领域产业发展，拟订发展规划并组织实施，推进文化和旅游、广播电视、体育融合发展及体制机制改革。</w:t>
      </w:r>
    </w:p>
    <w:p w14:paraId="6F64949D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三）负责全县文化和旅游、广播电视、体育工作，指导规范全县重点文化和旅游、广播电视、体育设施建设，组织全县文化和旅游整体形象宣传推广，广播电视公益工程和公益活动，制定旅游市场开发战略并组织实施，指导、推进全域旅游。</w:t>
      </w:r>
    </w:p>
    <w:p w14:paraId="00A6489F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（四）管理全县文艺事业，指导全县艺术创作生产，扶持体现社会主义核心价值观、具有导向性代表性示范性的文艺作品，推动各门类艺术、各艺术品种发展。</w:t>
      </w:r>
    </w:p>
    <w:p w14:paraId="063C995D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（五）负责全县公共文化事业发展，推进公共文化服务</w:t>
      </w:r>
      <w:r>
        <w:rPr>
          <w:rFonts w:ascii="仿宋_GB2312" w:eastAsia="仿宋_GB2312" w:hAnsi="仿宋" w:hint="eastAsia"/>
          <w:sz w:val="32"/>
          <w:szCs w:val="32"/>
        </w:rPr>
        <w:lastRenderedPageBreak/>
        <w:t>体系和旅游公共服务建设，深入实施文化和旅游惠民工程，统筹推进公共文化服务标准化、均等化。</w:t>
      </w:r>
    </w:p>
    <w:p w14:paraId="5DD42E98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（六）指导、推进全县文化和旅游科技创新发展，推进文化和旅游行业信息化、标准化建设。</w:t>
      </w:r>
    </w:p>
    <w:p w14:paraId="300C7031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（七）负责全县非物质文化遗产保护，拟订非物质文化遗产保护规划，推进非物质文化遗产的保护、传承、普及、弘扬和振兴。</w:t>
      </w:r>
    </w:p>
    <w:p w14:paraId="6838E2C3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八）负责全县文物和博物馆事业，负责全县文物保护、抢救、研究和展示利用等工作。承担文物和博物馆有关审核、监管。指导、协调重大文物保护和考古项目的组织实施。管理指导博物馆间的交流与协作。负责全县文物科技保护和科研工作，推动完善文物和博物馆公共服务体系与信息化建设。</w:t>
      </w:r>
    </w:p>
    <w:p w14:paraId="6960404F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（九）统筹规划全县文化和旅游、广播电视、体育产业，组织实施全县文化和旅游资源普查、挖掘、保护和利用工作，促进文化和旅游、广播电视、体育产业发展。</w:t>
      </w:r>
    </w:p>
    <w:p w14:paraId="2C8FFF00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（十）负责全县文化和旅游、广播电视、体育市场发展，对文化和旅游、广播电视、体育市场经营进行行业监管，推进全县文化和旅游行业信用体系建设，依法规范文化和旅游、广播电视、体育市场。</w:t>
      </w:r>
    </w:p>
    <w:p w14:paraId="2B3676D9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（十一）负责全县文化旅游市场综合行政执法，组织查处文化、文物、旅游、广播电视、体育等市场的违法行为，维护市场秩序。</w:t>
      </w:r>
    </w:p>
    <w:p w14:paraId="637A201F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（十二）管理全县文化和旅游、广播电视、体育对外及</w:t>
      </w:r>
      <w:r>
        <w:rPr>
          <w:rFonts w:ascii="仿宋_GB2312" w:eastAsia="仿宋_GB2312" w:hAnsi="仿宋" w:hint="eastAsia"/>
          <w:sz w:val="32"/>
          <w:szCs w:val="32"/>
        </w:rPr>
        <w:lastRenderedPageBreak/>
        <w:t>对港澳台交流合作和宣传推广，组织大型文化和旅游对外及对港澳台交流活动。</w:t>
      </w:r>
    </w:p>
    <w:p w14:paraId="5F2F356E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（十三）完成上级交办的其他任务。</w:t>
      </w:r>
    </w:p>
    <w:p w14:paraId="31219394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年度工作任务</w:t>
      </w:r>
    </w:p>
    <w:p w14:paraId="70276DB4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紧抓省级示范区创建，强化文化设施建设；紧抓群文培训工作，强化文艺活动开展；紧抓书香嘉鱼建设，强化全民阅读推广；紧抓文化遗产保护，强化非遗保护传承；紧抓文博基础工作，强化文物保护利用；紧抓行政审批改革，强化新闻广电管理；紧抓文化市场监管，强化扫黄打非工作；紧抓各类体育赛事，强化全民健身意识；紧抓驻村精准扶贫，强化脱贫攻坚举措；紧抓党风廉政建设，强化主体责任落实。</w:t>
      </w:r>
    </w:p>
    <w:p w14:paraId="33A88389" w14:textId="77777777" w:rsidR="00100E98" w:rsidRDefault="005C41B9">
      <w:pPr>
        <w:numPr>
          <w:ilvl w:val="0"/>
          <w:numId w:val="1"/>
        </w:numPr>
        <w:spacing w:line="600" w:lineRule="exact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绩效评价情况。</w:t>
      </w:r>
    </w:p>
    <w:p w14:paraId="62CADD08" w14:textId="08E0C24F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文化云关注人数超1</w:t>
      </w:r>
      <w:r w:rsidR="00FF344F">
        <w:rPr>
          <w:rFonts w:ascii="仿宋_GB2312" w:eastAsia="仿宋_GB2312" w:hAnsi="仿宋" w:hint="eastAsia"/>
          <w:sz w:val="32"/>
          <w:szCs w:val="32"/>
        </w:rPr>
        <w:t>5</w:t>
      </w:r>
      <w:r>
        <w:rPr>
          <w:rFonts w:ascii="仿宋_GB2312" w:eastAsia="仿宋_GB2312" w:hAnsi="仿宋" w:hint="eastAsia"/>
          <w:sz w:val="32"/>
          <w:szCs w:val="32"/>
        </w:rPr>
        <w:t>000人次；规范化电子阅览室建设配置电脑40台；数字资源超5TB；送书下乡次数超4</w:t>
      </w:r>
      <w:r w:rsidR="00FF344F">
        <w:rPr>
          <w:rFonts w:ascii="仿宋_GB2312" w:eastAsia="仿宋_GB2312" w:hAnsi="仿宋" w:hint="eastAsia"/>
          <w:sz w:val="32"/>
          <w:szCs w:val="32"/>
        </w:rPr>
        <w:t>2</w:t>
      </w:r>
      <w:r>
        <w:rPr>
          <w:rFonts w:ascii="仿宋_GB2312" w:eastAsia="仿宋_GB2312" w:hAnsi="仿宋" w:hint="eastAsia"/>
          <w:sz w:val="32"/>
          <w:szCs w:val="32"/>
        </w:rPr>
        <w:t>次；微信公众号关注度超1</w:t>
      </w:r>
      <w:r w:rsidR="00FF344F">
        <w:rPr>
          <w:rFonts w:ascii="仿宋_GB2312" w:eastAsia="仿宋_GB2312" w:hAnsi="仿宋" w:hint="eastAsia"/>
          <w:sz w:val="32"/>
          <w:szCs w:val="32"/>
        </w:rPr>
        <w:t>2</w:t>
      </w:r>
      <w:r>
        <w:rPr>
          <w:rFonts w:ascii="仿宋_GB2312" w:eastAsia="仿宋_GB2312" w:hAnsi="仿宋" w:hint="eastAsia"/>
          <w:sz w:val="32"/>
          <w:szCs w:val="32"/>
        </w:rPr>
        <w:t>000人次；文化云日均点击率超</w:t>
      </w:r>
      <w:r w:rsidR="00FF344F">
        <w:rPr>
          <w:rFonts w:ascii="仿宋_GB2312" w:eastAsia="仿宋_GB2312" w:hAnsi="仿宋" w:hint="eastAsia"/>
          <w:sz w:val="32"/>
          <w:szCs w:val="32"/>
        </w:rPr>
        <w:t>2</w:t>
      </w:r>
      <w:r>
        <w:rPr>
          <w:rFonts w:ascii="仿宋_GB2312" w:eastAsia="仿宋_GB2312" w:hAnsi="仿宋" w:hint="eastAsia"/>
          <w:sz w:val="32"/>
          <w:szCs w:val="32"/>
        </w:rPr>
        <w:t>000次；展览下乡场次达4</w:t>
      </w:r>
      <w:r w:rsidR="00FF344F">
        <w:rPr>
          <w:rFonts w:ascii="仿宋_GB2312" w:eastAsia="仿宋_GB2312" w:hAnsi="仿宋" w:hint="eastAsia"/>
          <w:sz w:val="32"/>
          <w:szCs w:val="32"/>
        </w:rPr>
        <w:t>2</w:t>
      </w:r>
      <w:r>
        <w:rPr>
          <w:rFonts w:ascii="仿宋_GB2312" w:eastAsia="仿宋_GB2312" w:hAnsi="仿宋" w:hint="eastAsia"/>
          <w:sz w:val="32"/>
          <w:szCs w:val="32"/>
        </w:rPr>
        <w:t>次；人均参加文体活动时间为每周</w:t>
      </w:r>
      <w:r w:rsidR="00FF344F">
        <w:rPr>
          <w:rFonts w:ascii="仿宋_GB2312" w:eastAsia="仿宋_GB2312" w:hAnsi="仿宋" w:hint="eastAsia"/>
          <w:sz w:val="32"/>
          <w:szCs w:val="32"/>
        </w:rPr>
        <w:t>5</w:t>
      </w:r>
      <w:r>
        <w:rPr>
          <w:rFonts w:ascii="仿宋_GB2312" w:eastAsia="仿宋_GB2312" w:hAnsi="仿宋" w:hint="eastAsia"/>
          <w:sz w:val="32"/>
          <w:szCs w:val="32"/>
        </w:rPr>
        <w:t>小时；举办公益性美术、书法、摄影、根雕等展览</w:t>
      </w:r>
      <w:r w:rsidR="00FF344F">
        <w:rPr>
          <w:rFonts w:ascii="仿宋_GB2312" w:eastAsia="仿宋_GB2312" w:hAnsi="仿宋" w:hint="eastAsia"/>
          <w:sz w:val="32"/>
          <w:szCs w:val="32"/>
        </w:rPr>
        <w:t>5</w:t>
      </w:r>
      <w:r>
        <w:rPr>
          <w:rFonts w:ascii="仿宋_GB2312" w:eastAsia="仿宋_GB2312" w:hAnsi="仿宋" w:hint="eastAsia"/>
          <w:sz w:val="32"/>
          <w:szCs w:val="32"/>
        </w:rPr>
        <w:t>次，参观群众达8000人次；举办公益性群众文化活动</w:t>
      </w:r>
      <w:r w:rsidR="00FF344F">
        <w:rPr>
          <w:rFonts w:ascii="仿宋_GB2312" w:eastAsia="仿宋_GB2312" w:hAnsi="仿宋" w:hint="eastAsia"/>
          <w:sz w:val="32"/>
          <w:szCs w:val="32"/>
        </w:rPr>
        <w:t>30</w:t>
      </w:r>
      <w:r>
        <w:rPr>
          <w:rFonts w:ascii="仿宋_GB2312" w:eastAsia="仿宋_GB2312" w:hAnsi="仿宋" w:hint="eastAsia"/>
          <w:sz w:val="32"/>
          <w:szCs w:val="32"/>
        </w:rPr>
        <w:t>次，参与群众2</w:t>
      </w:r>
      <w:r w:rsidR="00FF344F">
        <w:rPr>
          <w:rFonts w:ascii="仿宋_GB2312" w:eastAsia="仿宋_GB2312" w:hAnsi="仿宋" w:hint="eastAsia"/>
          <w:sz w:val="32"/>
          <w:szCs w:val="32"/>
        </w:rPr>
        <w:t>5</w:t>
      </w:r>
      <w:r>
        <w:rPr>
          <w:rFonts w:ascii="仿宋_GB2312" w:eastAsia="仿宋_GB2312" w:hAnsi="仿宋" w:hint="eastAsia"/>
          <w:sz w:val="32"/>
          <w:szCs w:val="32"/>
        </w:rPr>
        <w:t>000人次；群众参与增长率超</w:t>
      </w:r>
      <w:r w:rsidR="00FF344F">
        <w:rPr>
          <w:rFonts w:ascii="仿宋_GB2312" w:eastAsia="仿宋_GB2312" w:hAnsi="仿宋" w:hint="eastAsia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0%；指导文艺作品创作20次；按计划圆满完成各个任务；公益性群众文化活动按照原计划完成；按完成时间当年完成；本着节简的原则，举办活动经费按活动内容不超过预算；购买文艺产品服务10-15万元；聘请专家、老师费用2万元；承办省市各种比赛数</w:t>
      </w:r>
      <w:r>
        <w:rPr>
          <w:rFonts w:ascii="仿宋_GB2312" w:eastAsia="仿宋_GB2312" w:hAnsi="仿宋" w:hint="eastAsia"/>
          <w:sz w:val="32"/>
          <w:szCs w:val="32"/>
        </w:rPr>
        <w:lastRenderedPageBreak/>
        <w:t>一次；承办体育活动次数超10次；场馆使用人次超</w:t>
      </w:r>
      <w:r w:rsidR="00FF344F">
        <w:rPr>
          <w:rFonts w:ascii="仿宋_GB2312" w:eastAsia="仿宋_GB2312" w:hAnsi="仿宋" w:hint="eastAsia"/>
          <w:sz w:val="32"/>
          <w:szCs w:val="32"/>
        </w:rPr>
        <w:t>90</w:t>
      </w:r>
      <w:r>
        <w:rPr>
          <w:rFonts w:ascii="仿宋_GB2312" w:eastAsia="仿宋_GB2312" w:hAnsi="仿宋" w:hint="eastAsia"/>
          <w:sz w:val="32"/>
          <w:szCs w:val="32"/>
        </w:rPr>
        <w:t>000；场馆使用率99%以上；场馆小型修缮合格率99%以上；场馆运行保障任务完成率、绿化质量达标率、场馆设备维护及时率、场馆运行保障任务计划完成及时率均达9</w:t>
      </w:r>
      <w:r w:rsidR="00FF344F">
        <w:rPr>
          <w:rFonts w:ascii="仿宋_GB2312" w:eastAsia="仿宋_GB2312" w:hAnsi="仿宋" w:hint="eastAsia"/>
          <w:sz w:val="32"/>
          <w:szCs w:val="32"/>
        </w:rPr>
        <w:t>5</w:t>
      </w:r>
      <w:r>
        <w:rPr>
          <w:rFonts w:ascii="仿宋_GB2312" w:eastAsia="仿宋_GB2312" w:hAnsi="仿宋" w:hint="eastAsia"/>
          <w:sz w:val="32"/>
          <w:szCs w:val="32"/>
        </w:rPr>
        <w:t>%。</w:t>
      </w:r>
    </w:p>
    <w:p w14:paraId="1B8E79F0" w14:textId="45BB6A7B" w:rsidR="00100E98" w:rsidRDefault="005C41B9">
      <w:pPr>
        <w:spacing w:line="600" w:lineRule="exact"/>
        <w:ind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通过文化搭台，经济唱戏的方式，促进本地区经贸交易活动，带动旅游业的发展，提高本地的经济发展；群众参与度超9</w:t>
      </w:r>
      <w:r w:rsidR="00FF344F">
        <w:rPr>
          <w:rFonts w:ascii="仿宋_GB2312" w:eastAsia="仿宋_GB2312" w:hAnsi="仿宋" w:hint="eastAsia"/>
          <w:sz w:val="32"/>
          <w:szCs w:val="32"/>
        </w:rPr>
        <w:t>5</w:t>
      </w:r>
      <w:r>
        <w:rPr>
          <w:rFonts w:ascii="仿宋_GB2312" w:eastAsia="仿宋_GB2312" w:hAnsi="仿宋" w:hint="eastAsia"/>
          <w:sz w:val="32"/>
          <w:szCs w:val="32"/>
        </w:rPr>
        <w:t>%；社会影响力有所提升；提高嘉鱼县的知名度，促进当地文化的发展，参加活动人次达50000人次；文化云点击率达5000人次；社会文化氛围大大提高；开阔我县群众文化视野，推动群众文化事业发展，提高群众文化艺术水平，促进全县文化繁荣大发展；社会公众满意度及政府满意度均达9</w:t>
      </w:r>
      <w:r w:rsidR="00FF344F">
        <w:rPr>
          <w:rFonts w:ascii="仿宋_GB2312" w:eastAsia="仿宋_GB2312" w:hAnsi="仿宋" w:hint="eastAsia"/>
          <w:sz w:val="32"/>
          <w:szCs w:val="32"/>
        </w:rPr>
        <w:t>5</w:t>
      </w:r>
      <w:r>
        <w:rPr>
          <w:rFonts w:ascii="仿宋_GB2312" w:eastAsia="仿宋_GB2312" w:hAnsi="仿宋" w:hint="eastAsia"/>
          <w:sz w:val="32"/>
          <w:szCs w:val="32"/>
        </w:rPr>
        <w:t>%；场馆运行对竞技水平提高及全身健身促进均有较大促进作用；教练员对场馆设施的满意度、社会人员对场馆设施的满意度、运动员对场馆设施的满意度均达9</w:t>
      </w:r>
      <w:r w:rsidR="00FF344F">
        <w:rPr>
          <w:rFonts w:ascii="仿宋_GB2312" w:eastAsia="仿宋_GB2312" w:hAnsi="仿宋" w:hint="eastAsia"/>
          <w:sz w:val="32"/>
          <w:szCs w:val="32"/>
        </w:rPr>
        <w:t>5</w:t>
      </w:r>
      <w:r>
        <w:rPr>
          <w:rFonts w:ascii="仿宋_GB2312" w:eastAsia="仿宋_GB2312" w:hAnsi="仿宋" w:hint="eastAsia"/>
          <w:sz w:val="32"/>
          <w:szCs w:val="32"/>
        </w:rPr>
        <w:t>%。</w:t>
      </w:r>
    </w:p>
    <w:p w14:paraId="43E8B398" w14:textId="77777777" w:rsidR="00100E98" w:rsidRDefault="005C41B9">
      <w:pPr>
        <w:numPr>
          <w:ilvl w:val="0"/>
          <w:numId w:val="1"/>
        </w:numPr>
        <w:spacing w:line="600" w:lineRule="exact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下一步工作安排。</w:t>
      </w:r>
    </w:p>
    <w:p w14:paraId="513EAC07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经验：严格遵循专款专用，独立核算的管理原则，根据财务管理办法的相关制度执行。</w:t>
      </w:r>
    </w:p>
    <w:p w14:paraId="6C5A7244" w14:textId="77777777" w:rsidR="00100E98" w:rsidRDefault="005C41B9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问题：掌握的信息不够全面；实施了评估，但缺乏相应的强化手段；未能从工作分析中提取有效的绩效指标；</w:t>
      </w:r>
    </w:p>
    <w:p w14:paraId="46DBD6CA" w14:textId="3BF3E2A9" w:rsidR="00100E98" w:rsidRDefault="005C41B9" w:rsidP="00CD395C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建议：严格按照财政资金管理科学化精细化要求，切实加强对补助资金的监督管理，建立健全资金管理制度，有效防止专款没有专用现象，充分发挥资金使用效益。</w:t>
      </w:r>
    </w:p>
    <w:p w14:paraId="7ACBE23D" w14:textId="4FF4CD10" w:rsidR="00100E98" w:rsidRDefault="005C41B9">
      <w:pPr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附：202</w:t>
      </w:r>
      <w:r w:rsidR="00FF344F">
        <w:rPr>
          <w:rFonts w:ascii="仿宋_GB2312" w:eastAsia="仿宋_GB2312" w:hAnsi="仿宋" w:hint="eastAsia"/>
          <w:sz w:val="32"/>
          <w:szCs w:val="32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年度嘉鱼县部门整体支出绩效自评表</w:t>
      </w:r>
    </w:p>
    <w:sectPr w:rsidR="00100E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A255D" w14:textId="77777777" w:rsidR="00DB754D" w:rsidRDefault="00DB754D" w:rsidP="00FF344F">
      <w:r>
        <w:separator/>
      </w:r>
    </w:p>
  </w:endnote>
  <w:endnote w:type="continuationSeparator" w:id="0">
    <w:p w14:paraId="62DB4ECB" w14:textId="77777777" w:rsidR="00DB754D" w:rsidRDefault="00DB754D" w:rsidP="00FF3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5073" w14:textId="77777777" w:rsidR="00DB754D" w:rsidRDefault="00DB754D" w:rsidP="00FF344F">
      <w:r>
        <w:separator/>
      </w:r>
    </w:p>
  </w:footnote>
  <w:footnote w:type="continuationSeparator" w:id="0">
    <w:p w14:paraId="32C5F453" w14:textId="77777777" w:rsidR="00DB754D" w:rsidRDefault="00DB754D" w:rsidP="00FF3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8AE5B1"/>
    <w:multiLevelType w:val="singleLevel"/>
    <w:tmpl w:val="928AE5B1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 w16cid:durableId="35311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47"/>
    <w:rsid w:val="00031CBC"/>
    <w:rsid w:val="00050D7E"/>
    <w:rsid w:val="0005711D"/>
    <w:rsid w:val="00081EA6"/>
    <w:rsid w:val="000C5722"/>
    <w:rsid w:val="000E6F8A"/>
    <w:rsid w:val="00100E98"/>
    <w:rsid w:val="00106348"/>
    <w:rsid w:val="00107431"/>
    <w:rsid w:val="00123269"/>
    <w:rsid w:val="00147069"/>
    <w:rsid w:val="001C04F0"/>
    <w:rsid w:val="001F47C8"/>
    <w:rsid w:val="00206F6A"/>
    <w:rsid w:val="0024099A"/>
    <w:rsid w:val="002F0692"/>
    <w:rsid w:val="00303120"/>
    <w:rsid w:val="003706A4"/>
    <w:rsid w:val="0037365A"/>
    <w:rsid w:val="00375EE1"/>
    <w:rsid w:val="003811E6"/>
    <w:rsid w:val="0047124B"/>
    <w:rsid w:val="004B5E16"/>
    <w:rsid w:val="00530380"/>
    <w:rsid w:val="005C41B9"/>
    <w:rsid w:val="00637249"/>
    <w:rsid w:val="00674438"/>
    <w:rsid w:val="006A10BD"/>
    <w:rsid w:val="00722254"/>
    <w:rsid w:val="00734778"/>
    <w:rsid w:val="0074311F"/>
    <w:rsid w:val="00747F85"/>
    <w:rsid w:val="00764B7C"/>
    <w:rsid w:val="007B57B9"/>
    <w:rsid w:val="00803785"/>
    <w:rsid w:val="008556B7"/>
    <w:rsid w:val="00865DE3"/>
    <w:rsid w:val="00944180"/>
    <w:rsid w:val="009C0F36"/>
    <w:rsid w:val="00A01D16"/>
    <w:rsid w:val="00A45398"/>
    <w:rsid w:val="00A54BFF"/>
    <w:rsid w:val="00A65461"/>
    <w:rsid w:val="00A81572"/>
    <w:rsid w:val="00AE40F1"/>
    <w:rsid w:val="00AE55E7"/>
    <w:rsid w:val="00AF6B09"/>
    <w:rsid w:val="00AF79A0"/>
    <w:rsid w:val="00BE02C6"/>
    <w:rsid w:val="00C028AF"/>
    <w:rsid w:val="00C62018"/>
    <w:rsid w:val="00C62B78"/>
    <w:rsid w:val="00CC3C30"/>
    <w:rsid w:val="00CD395C"/>
    <w:rsid w:val="00D04347"/>
    <w:rsid w:val="00D55058"/>
    <w:rsid w:val="00D64FBE"/>
    <w:rsid w:val="00D72093"/>
    <w:rsid w:val="00D84E31"/>
    <w:rsid w:val="00DB626A"/>
    <w:rsid w:val="00DB754D"/>
    <w:rsid w:val="00DE08EC"/>
    <w:rsid w:val="00E015F6"/>
    <w:rsid w:val="00E14A8F"/>
    <w:rsid w:val="00E41AE9"/>
    <w:rsid w:val="00E60D95"/>
    <w:rsid w:val="00EA278E"/>
    <w:rsid w:val="00F51E7C"/>
    <w:rsid w:val="00F7208C"/>
    <w:rsid w:val="00FD5A54"/>
    <w:rsid w:val="00FF344F"/>
    <w:rsid w:val="00FF60A2"/>
    <w:rsid w:val="04237B2D"/>
    <w:rsid w:val="0C301A5C"/>
    <w:rsid w:val="0D5F0D8D"/>
    <w:rsid w:val="12705F77"/>
    <w:rsid w:val="134F708E"/>
    <w:rsid w:val="13F93ECE"/>
    <w:rsid w:val="14C764A1"/>
    <w:rsid w:val="14DB3CEE"/>
    <w:rsid w:val="14DF4C6D"/>
    <w:rsid w:val="17CD3FF8"/>
    <w:rsid w:val="17D034E5"/>
    <w:rsid w:val="1831176F"/>
    <w:rsid w:val="1A6E02E4"/>
    <w:rsid w:val="1C991D24"/>
    <w:rsid w:val="1E8F4AD8"/>
    <w:rsid w:val="1FF23082"/>
    <w:rsid w:val="22A4378A"/>
    <w:rsid w:val="25074CC3"/>
    <w:rsid w:val="2C2B7A3C"/>
    <w:rsid w:val="30AD5C6E"/>
    <w:rsid w:val="30F87D22"/>
    <w:rsid w:val="36446AA7"/>
    <w:rsid w:val="376401D0"/>
    <w:rsid w:val="431E2865"/>
    <w:rsid w:val="470B363E"/>
    <w:rsid w:val="475013AB"/>
    <w:rsid w:val="4B077566"/>
    <w:rsid w:val="4B9672E6"/>
    <w:rsid w:val="5B2E1480"/>
    <w:rsid w:val="5BE05992"/>
    <w:rsid w:val="60AA7AE9"/>
    <w:rsid w:val="62D7390F"/>
    <w:rsid w:val="683A2821"/>
    <w:rsid w:val="72C97F49"/>
    <w:rsid w:val="762F59B1"/>
    <w:rsid w:val="78F81631"/>
    <w:rsid w:val="792657BD"/>
    <w:rsid w:val="7B1C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2D0A60"/>
  <w15:docId w15:val="{EA97AD87-E723-463C-8DFB-466D7BA9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1025</Words>
  <Characters>1057</Characters>
  <Application>Microsoft Office Word</Application>
  <DocSecurity>0</DocSecurity>
  <Lines>48</Lines>
  <Paragraphs>28</Paragraphs>
  <ScaleCrop>false</ScaleCrop>
  <Company>Microsoft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冯妍妍/预算绩效管理处（行资处）/湖北省财政厅</dc:creator>
  <cp:lastModifiedBy>administered</cp:lastModifiedBy>
  <cp:revision>9</cp:revision>
  <cp:lastPrinted>2018-03-02T03:41:00Z</cp:lastPrinted>
  <dcterms:created xsi:type="dcterms:W3CDTF">2022-06-23T07:57:00Z</dcterms:created>
  <dcterms:modified xsi:type="dcterms:W3CDTF">2025-10-15T03:24:00Z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084563B11B0948E79E35B3DF8B39BCC6</vt:lpwstr>
  </property>
</Properties>
</file>