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260" w:lineRule="exact"/>
        <w:textAlignment w:val="auto"/>
        <w:rPr>
          <w:rFonts w:ascii="方正小标宋简体" w:hAnsi="仿宋" w:eastAsia="方正小标宋简体"/>
          <w:sz w:val="24"/>
          <w:szCs w:val="24"/>
        </w:rPr>
      </w:pPr>
    </w:p>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方正小标宋简体" w:hAnsi="仿宋" w:eastAsia="方正小标宋简体"/>
          <w:sz w:val="24"/>
          <w:szCs w:val="24"/>
        </w:rPr>
      </w:pPr>
    </w:p>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方正小标宋简体" w:hAnsi="仿宋" w:eastAsia="方正小标宋简体"/>
          <w:b/>
          <w:bCs/>
          <w:sz w:val="24"/>
          <w:szCs w:val="24"/>
        </w:rPr>
      </w:pPr>
      <w:r>
        <w:rPr>
          <w:rFonts w:hint="eastAsia" w:ascii="方正小标宋简体" w:hAnsi="仿宋" w:eastAsia="方正小标宋简体"/>
          <w:b/>
          <w:bCs/>
          <w:sz w:val="24"/>
          <w:szCs w:val="24"/>
        </w:rPr>
        <w:t>嘉鱼县</w:t>
      </w:r>
      <w:r>
        <w:rPr>
          <w:rFonts w:hint="eastAsia" w:ascii="方正小标宋简体" w:hAnsi="仿宋" w:eastAsia="方正小标宋简体"/>
          <w:b/>
          <w:bCs/>
          <w:sz w:val="24"/>
          <w:szCs w:val="24"/>
          <w:lang w:eastAsia="zh-CN"/>
        </w:rPr>
        <w:t>卫健局202</w:t>
      </w:r>
      <w:r>
        <w:rPr>
          <w:rFonts w:hint="eastAsia" w:ascii="方正小标宋简体" w:hAnsi="仿宋" w:eastAsia="方正小标宋简体"/>
          <w:b/>
          <w:bCs/>
          <w:sz w:val="24"/>
          <w:szCs w:val="24"/>
          <w:lang w:val="en-US" w:eastAsia="zh-CN"/>
        </w:rPr>
        <w:t>3</w:t>
      </w:r>
      <w:r>
        <w:rPr>
          <w:rFonts w:hint="eastAsia" w:ascii="方正小标宋简体" w:hAnsi="仿宋" w:eastAsia="方正小标宋简体"/>
          <w:b/>
          <w:bCs/>
          <w:sz w:val="24"/>
          <w:szCs w:val="24"/>
        </w:rPr>
        <w:t>年整体支出绩效自评报告</w:t>
      </w:r>
    </w:p>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方正小标宋简体" w:hAnsi="仿宋" w:eastAsia="方正小标宋简体"/>
          <w:sz w:val="24"/>
          <w:szCs w:val="24"/>
        </w:rPr>
      </w:pPr>
    </w:p>
    <w:p>
      <w:pPr>
        <w:pStyle w:val="8"/>
        <w:keepNext w:val="0"/>
        <w:keepLines w:val="0"/>
        <w:pageBreakBefore w:val="0"/>
        <w:numPr>
          <w:ilvl w:val="0"/>
          <w:numId w:val="1"/>
        </w:numPr>
        <w:kinsoku/>
        <w:wordWrap/>
        <w:overflowPunct/>
        <w:topLinePunct w:val="0"/>
        <w:autoSpaceDE/>
        <w:autoSpaceDN/>
        <w:bidi w:val="0"/>
        <w:adjustRightInd/>
        <w:snapToGrid/>
        <w:spacing w:line="260" w:lineRule="exact"/>
        <w:ind w:firstLineChars="0"/>
        <w:textAlignment w:val="auto"/>
        <w:rPr>
          <w:rFonts w:ascii="仿宋" w:hAnsi="仿宋" w:eastAsia="仿宋" w:cs="Aharoni"/>
          <w:sz w:val="24"/>
          <w:szCs w:val="24"/>
        </w:rPr>
      </w:pPr>
      <w:r>
        <w:rPr>
          <w:rFonts w:hint="eastAsia" w:ascii="仿宋" w:hAnsi="仿宋" w:eastAsia="仿宋" w:cs="Aharoni"/>
          <w:sz w:val="24"/>
          <w:szCs w:val="24"/>
        </w:rPr>
        <w:t>绩效自评得分情况及绩效等级。</w:t>
      </w:r>
    </w:p>
    <w:p>
      <w:pPr>
        <w:keepNext w:val="0"/>
        <w:keepLines w:val="0"/>
        <w:pageBreakBefore w:val="0"/>
        <w:kinsoku/>
        <w:wordWrap/>
        <w:overflowPunct/>
        <w:topLinePunct w:val="0"/>
        <w:autoSpaceDE/>
        <w:autoSpaceDN/>
        <w:bidi w:val="0"/>
        <w:adjustRightInd/>
        <w:snapToGrid/>
        <w:spacing w:line="260" w:lineRule="exact"/>
        <w:ind w:firstLine="480" w:firstLineChars="200"/>
        <w:textAlignment w:val="auto"/>
        <w:rPr>
          <w:rFonts w:ascii="仿宋" w:hAnsi="仿宋" w:eastAsia="仿宋" w:cs="Aharoni"/>
          <w:sz w:val="24"/>
          <w:szCs w:val="24"/>
          <w:highlight w:val="none"/>
        </w:rPr>
      </w:pPr>
      <w:r>
        <w:rPr>
          <w:rFonts w:hint="eastAsia" w:ascii="仿宋" w:hAnsi="仿宋" w:eastAsia="仿宋" w:cs="Aharoni"/>
          <w:sz w:val="24"/>
          <w:szCs w:val="24"/>
          <w:highlight w:val="none"/>
        </w:rPr>
        <w:t>通过</w:t>
      </w:r>
      <w:r>
        <w:rPr>
          <w:rFonts w:hint="eastAsia" w:ascii="仿宋" w:hAnsi="仿宋" w:eastAsia="仿宋" w:cs="Aharoni"/>
          <w:sz w:val="24"/>
          <w:szCs w:val="24"/>
          <w:highlight w:val="none"/>
          <w:lang w:eastAsia="zh-CN"/>
        </w:rPr>
        <w:t>2023</w:t>
      </w:r>
      <w:r>
        <w:rPr>
          <w:rFonts w:hint="eastAsia" w:ascii="仿宋" w:hAnsi="仿宋" w:eastAsia="仿宋" w:cs="Aharoni"/>
          <w:sz w:val="24"/>
          <w:szCs w:val="24"/>
          <w:highlight w:val="none"/>
        </w:rPr>
        <w:t>年部门整体支出绩效自评表结果显示，这次自评得分</w:t>
      </w:r>
      <w:r>
        <w:rPr>
          <w:rFonts w:hint="eastAsia" w:ascii="仿宋" w:hAnsi="仿宋" w:eastAsia="仿宋" w:cs="Aharoni"/>
          <w:sz w:val="24"/>
          <w:szCs w:val="24"/>
          <w:highlight w:val="none"/>
          <w:lang w:val="en-US" w:eastAsia="zh-CN"/>
        </w:rPr>
        <w:t>80</w:t>
      </w:r>
      <w:r>
        <w:rPr>
          <w:rFonts w:hint="eastAsia" w:ascii="仿宋" w:hAnsi="仿宋" w:eastAsia="仿宋" w:cs="Aharoni"/>
          <w:sz w:val="24"/>
          <w:szCs w:val="24"/>
          <w:highlight w:val="none"/>
        </w:rPr>
        <w:t>分，绩效等级为中级。我们部门年初预算财政拨款为</w:t>
      </w:r>
      <w:r>
        <w:rPr>
          <w:rFonts w:hint="eastAsia" w:ascii="仿宋" w:hAnsi="仿宋" w:eastAsia="仿宋" w:cs="Aharoni"/>
          <w:sz w:val="24"/>
          <w:szCs w:val="24"/>
          <w:highlight w:val="none"/>
          <w:lang w:val="en-US" w:eastAsia="zh-CN"/>
        </w:rPr>
        <w:t>2824.8</w:t>
      </w:r>
      <w:r>
        <w:rPr>
          <w:rFonts w:hint="eastAsia" w:ascii="仿宋" w:hAnsi="仿宋" w:eastAsia="仿宋" w:cs="Aharoni"/>
          <w:sz w:val="24"/>
          <w:szCs w:val="24"/>
          <w:highlight w:val="none"/>
        </w:rPr>
        <w:t>万元，</w:t>
      </w:r>
      <w:r>
        <w:rPr>
          <w:rFonts w:hint="eastAsia" w:ascii="仿宋" w:hAnsi="仿宋" w:eastAsia="仿宋" w:cs="Aharoni"/>
          <w:sz w:val="24"/>
          <w:szCs w:val="24"/>
          <w:highlight w:val="none"/>
          <w:lang w:eastAsia="zh-CN"/>
        </w:rPr>
        <w:t>年初预算调整数</w:t>
      </w:r>
      <w:r>
        <w:rPr>
          <w:rFonts w:hint="eastAsia" w:ascii="仿宋" w:hAnsi="仿宋" w:eastAsia="仿宋" w:cs="Aharoni"/>
          <w:sz w:val="24"/>
          <w:szCs w:val="24"/>
          <w:highlight w:val="none"/>
          <w:lang w:val="en-US" w:eastAsia="zh-CN"/>
        </w:rPr>
        <w:t>3494万元，</w:t>
      </w:r>
      <w:r>
        <w:rPr>
          <w:rFonts w:hint="eastAsia" w:ascii="仿宋" w:hAnsi="仿宋" w:eastAsia="仿宋" w:cs="Aharoni"/>
          <w:sz w:val="24"/>
          <w:szCs w:val="24"/>
          <w:highlight w:val="none"/>
        </w:rPr>
        <w:t>全年执行数为</w:t>
      </w:r>
      <w:r>
        <w:rPr>
          <w:rFonts w:hint="eastAsia" w:ascii="仿宋" w:hAnsi="仿宋" w:eastAsia="仿宋" w:cs="Aharoni"/>
          <w:sz w:val="24"/>
          <w:szCs w:val="24"/>
          <w:highlight w:val="none"/>
          <w:lang w:val="en-US" w:eastAsia="zh-CN"/>
        </w:rPr>
        <w:t>3494</w:t>
      </w:r>
      <w:r>
        <w:rPr>
          <w:rFonts w:hint="eastAsia" w:ascii="仿宋" w:hAnsi="仿宋" w:eastAsia="仿宋" w:cs="Aharoni"/>
          <w:sz w:val="24"/>
          <w:szCs w:val="24"/>
          <w:highlight w:val="none"/>
        </w:rPr>
        <w:t>万元</w:t>
      </w:r>
      <w:r>
        <w:rPr>
          <w:rFonts w:hint="eastAsia" w:ascii="仿宋" w:hAnsi="仿宋" w:eastAsia="仿宋" w:cs="Aharoni"/>
          <w:color w:val="000000" w:themeColor="text1"/>
          <w:sz w:val="24"/>
          <w:szCs w:val="24"/>
          <w:highlight w:val="none"/>
        </w:rPr>
        <w:t>，指标值偏差率为</w:t>
      </w:r>
      <w:r>
        <w:rPr>
          <w:rFonts w:hint="eastAsia" w:ascii="仿宋" w:hAnsi="仿宋" w:eastAsia="仿宋" w:cs="Aharoni"/>
          <w:color w:val="000000" w:themeColor="text1"/>
          <w:sz w:val="24"/>
          <w:szCs w:val="24"/>
          <w:highlight w:val="none"/>
          <w:lang w:val="en-US" w:eastAsia="zh-CN"/>
        </w:rPr>
        <w:t>123</w:t>
      </w:r>
      <w:r>
        <w:rPr>
          <w:rFonts w:hint="eastAsia" w:ascii="仿宋" w:hAnsi="仿宋" w:eastAsia="仿宋" w:cs="Aharoni"/>
          <w:color w:val="000000" w:themeColor="text1"/>
          <w:sz w:val="24"/>
          <w:szCs w:val="24"/>
          <w:highlight w:val="none"/>
        </w:rPr>
        <w:t>%</w:t>
      </w:r>
      <w:r>
        <w:rPr>
          <w:rFonts w:hint="eastAsia" w:ascii="仿宋" w:hAnsi="仿宋" w:eastAsia="仿宋" w:cs="Aharoni"/>
          <w:sz w:val="24"/>
          <w:szCs w:val="24"/>
          <w:highlight w:val="none"/>
        </w:rPr>
        <w:t>；年终预算调整金额为</w:t>
      </w:r>
      <w:r>
        <w:rPr>
          <w:rFonts w:hint="eastAsia" w:ascii="仿宋" w:hAnsi="仿宋" w:eastAsia="仿宋" w:cs="Aharoni"/>
          <w:sz w:val="24"/>
          <w:szCs w:val="24"/>
          <w:highlight w:val="none"/>
          <w:lang w:val="en-US" w:eastAsia="zh-CN"/>
        </w:rPr>
        <w:t>23.6</w:t>
      </w:r>
      <w:r>
        <w:rPr>
          <w:rFonts w:hint="eastAsia" w:ascii="仿宋" w:hAnsi="仿宋" w:eastAsia="仿宋" w:cs="Aharoni"/>
          <w:sz w:val="24"/>
          <w:szCs w:val="24"/>
          <w:highlight w:val="none"/>
        </w:rPr>
        <w:t>万元，</w:t>
      </w:r>
      <w:r>
        <w:rPr>
          <w:rFonts w:hint="eastAsia" w:ascii="仿宋" w:hAnsi="仿宋" w:eastAsia="仿宋" w:cs="Aharoni"/>
          <w:sz w:val="24"/>
          <w:szCs w:val="24"/>
          <w:highlight w:val="none"/>
          <w:lang w:eastAsia="zh-CN"/>
        </w:rPr>
        <w:t>医共体信息化建设项目资金拨付</w:t>
      </w:r>
      <w:r>
        <w:rPr>
          <w:rFonts w:hint="eastAsia" w:ascii="仿宋" w:hAnsi="仿宋" w:eastAsia="仿宋" w:cs="Aharoni"/>
          <w:sz w:val="24"/>
          <w:szCs w:val="24"/>
          <w:highlight w:val="none"/>
        </w:rPr>
        <w:t>等，预算调整率为</w:t>
      </w:r>
      <w:r>
        <w:rPr>
          <w:rFonts w:hint="eastAsia" w:ascii="仿宋" w:hAnsi="仿宋" w:eastAsia="仿宋" w:cs="Aharoni"/>
          <w:sz w:val="24"/>
          <w:szCs w:val="24"/>
          <w:highlight w:val="none"/>
          <w:lang w:val="en-US" w:eastAsia="zh-CN"/>
        </w:rPr>
        <w:t>0.83</w:t>
      </w:r>
      <w:r>
        <w:rPr>
          <w:rFonts w:hint="eastAsia" w:ascii="仿宋" w:hAnsi="仿宋" w:eastAsia="仿宋" w:cs="Aharoni"/>
          <w:sz w:val="24"/>
          <w:szCs w:val="24"/>
          <w:highlight w:val="none"/>
        </w:rPr>
        <w:t>%。我部门在每千人口床位数、每千人口执业（助理）医生数、每千人口注册护士数还没有达到国家医疗卫生服务规划所要求达到的行业标准，住院患者转诊率达到</w:t>
      </w:r>
      <w:r>
        <w:rPr>
          <w:rFonts w:hint="eastAsia" w:ascii="仿宋" w:hAnsi="仿宋" w:eastAsia="仿宋" w:cs="Aharoni"/>
          <w:sz w:val="24"/>
          <w:szCs w:val="24"/>
          <w:highlight w:val="none"/>
          <w:lang w:val="en-US" w:eastAsia="zh-CN"/>
        </w:rPr>
        <w:t>16.52</w:t>
      </w:r>
      <w:r>
        <w:rPr>
          <w:rFonts w:hint="eastAsia" w:ascii="仿宋" w:hAnsi="仿宋" w:eastAsia="仿宋" w:cs="Aharoni"/>
          <w:sz w:val="24"/>
          <w:szCs w:val="24"/>
          <w:highlight w:val="none"/>
        </w:rPr>
        <w:t>%，高于历年来统计标准（小于10%）。出生人口性别比略高于历史标准。孕产妇死亡率、婴儿死亡率、甲乙类传染病报告发病率都低于历史标准。</w:t>
      </w:r>
    </w:p>
    <w:p>
      <w:pPr>
        <w:pStyle w:val="8"/>
        <w:keepNext w:val="0"/>
        <w:keepLines w:val="0"/>
        <w:pageBreakBefore w:val="0"/>
        <w:numPr>
          <w:ilvl w:val="0"/>
          <w:numId w:val="1"/>
        </w:numPr>
        <w:kinsoku/>
        <w:wordWrap/>
        <w:overflowPunct/>
        <w:topLinePunct w:val="0"/>
        <w:autoSpaceDE/>
        <w:autoSpaceDN/>
        <w:bidi w:val="0"/>
        <w:adjustRightInd/>
        <w:snapToGrid/>
        <w:spacing w:line="260" w:lineRule="exact"/>
        <w:ind w:firstLineChars="0"/>
        <w:textAlignment w:val="auto"/>
        <w:rPr>
          <w:rFonts w:ascii="仿宋" w:hAnsi="仿宋" w:eastAsia="仿宋" w:cs="Aharoni"/>
          <w:sz w:val="24"/>
          <w:szCs w:val="24"/>
        </w:rPr>
      </w:pPr>
      <w:r>
        <w:rPr>
          <w:rFonts w:hint="eastAsia" w:ascii="仿宋" w:hAnsi="仿宋" w:eastAsia="仿宋" w:cs="Aharoni"/>
          <w:sz w:val="24"/>
          <w:szCs w:val="24"/>
        </w:rPr>
        <w:t>嘉鱼县</w:t>
      </w:r>
      <w:r>
        <w:rPr>
          <w:rFonts w:hint="eastAsia" w:ascii="仿宋" w:hAnsi="仿宋" w:eastAsia="仿宋" w:cs="Aharoni"/>
          <w:sz w:val="24"/>
          <w:szCs w:val="24"/>
          <w:lang w:eastAsia="zh-CN"/>
        </w:rPr>
        <w:t>卫健局</w:t>
      </w:r>
      <w:r>
        <w:rPr>
          <w:rFonts w:hint="eastAsia" w:ascii="仿宋" w:hAnsi="仿宋" w:eastAsia="仿宋" w:cs="Aharoni"/>
          <w:sz w:val="24"/>
          <w:szCs w:val="24"/>
        </w:rPr>
        <w:t>部门职能：</w:t>
      </w:r>
    </w:p>
    <w:p>
      <w:pPr>
        <w:keepNext w:val="0"/>
        <w:keepLines w:val="0"/>
        <w:pageBreakBefore w:val="0"/>
        <w:kinsoku/>
        <w:wordWrap/>
        <w:overflowPunct/>
        <w:topLinePunct w:val="0"/>
        <w:autoSpaceDE/>
        <w:autoSpaceDN/>
        <w:bidi w:val="0"/>
        <w:adjustRightInd/>
        <w:snapToGrid/>
        <w:spacing w:line="260" w:lineRule="exact"/>
        <w:ind w:firstLine="480" w:firstLineChars="200"/>
        <w:textAlignment w:val="auto"/>
        <w:rPr>
          <w:rFonts w:ascii="仿宋" w:hAnsi="仿宋" w:eastAsia="仿宋" w:cs="Aharoni"/>
          <w:sz w:val="24"/>
          <w:szCs w:val="24"/>
        </w:rPr>
      </w:pPr>
      <w:r>
        <w:rPr>
          <w:rFonts w:hint="eastAsia" w:ascii="仿宋" w:hAnsi="仿宋" w:eastAsia="仿宋" w:cs="Aharoni"/>
          <w:sz w:val="24"/>
          <w:szCs w:val="24"/>
        </w:rPr>
        <w:t>嘉鱼县卫</w:t>
      </w:r>
      <w:r>
        <w:rPr>
          <w:rFonts w:hint="eastAsia" w:ascii="仿宋" w:hAnsi="仿宋" w:eastAsia="仿宋" w:cs="Aharoni"/>
          <w:sz w:val="24"/>
          <w:szCs w:val="24"/>
          <w:lang w:eastAsia="zh-CN"/>
        </w:rPr>
        <w:t>健</w:t>
      </w:r>
      <w:r>
        <w:rPr>
          <w:rFonts w:hint="eastAsia" w:ascii="仿宋" w:hAnsi="仿宋" w:eastAsia="仿宋" w:cs="Aharoni"/>
          <w:sz w:val="24"/>
          <w:szCs w:val="24"/>
        </w:rPr>
        <w:t>局为全额拨款行政单位，单位内设股室11个，局属事业单位14个，包括县人民医院、县中医院、县妇幼保健院、血吸虫病防治医院、疾病预防控制中心、嘉鱼县卫生和计划生育局</w:t>
      </w:r>
      <w:r>
        <w:rPr>
          <w:rFonts w:hint="eastAsia" w:ascii="仿宋" w:hAnsi="仿宋" w:eastAsia="仿宋" w:cs="Aharoni"/>
          <w:sz w:val="24"/>
          <w:szCs w:val="24"/>
          <w:lang w:eastAsia="zh-CN"/>
        </w:rPr>
        <w:t>、</w:t>
      </w:r>
      <w:r>
        <w:rPr>
          <w:rFonts w:hint="eastAsia" w:ascii="仿宋" w:hAnsi="仿宋" w:eastAsia="仿宋" w:cs="Aharoni"/>
          <w:sz w:val="24"/>
          <w:szCs w:val="24"/>
        </w:rPr>
        <w:t>综合执法监督管理局、簰洲湾镇卫生院、潘湾镇卫生院、渡普镇卫生院、新街镇卫生院、鱼岳镇社区服务中心、高铁镇卫生院、官桥镇卫生院、陆溪镇卫生院。截止</w:t>
      </w:r>
      <w:r>
        <w:rPr>
          <w:rFonts w:hint="eastAsia" w:ascii="仿宋" w:hAnsi="仿宋" w:eastAsia="仿宋" w:cs="Aharoni"/>
          <w:sz w:val="24"/>
          <w:szCs w:val="24"/>
          <w:lang w:eastAsia="zh-CN"/>
        </w:rPr>
        <w:t>2023</w:t>
      </w:r>
      <w:r>
        <w:rPr>
          <w:rFonts w:hint="eastAsia" w:ascii="仿宋" w:hAnsi="仿宋" w:eastAsia="仿宋" w:cs="Aharoni"/>
          <w:sz w:val="24"/>
          <w:szCs w:val="24"/>
        </w:rPr>
        <w:t>年</w:t>
      </w:r>
      <w:r>
        <w:rPr>
          <w:rFonts w:ascii="仿宋" w:hAnsi="仿宋" w:eastAsia="仿宋" w:cs="Aharoni"/>
          <w:sz w:val="24"/>
          <w:szCs w:val="24"/>
        </w:rPr>
        <w:t>12</w:t>
      </w:r>
      <w:r>
        <w:rPr>
          <w:rFonts w:hint="eastAsia" w:ascii="仿宋" w:hAnsi="仿宋" w:eastAsia="仿宋" w:cs="Aharoni"/>
          <w:sz w:val="24"/>
          <w:szCs w:val="24"/>
        </w:rPr>
        <w:t>月31日，嘉鱼县</w:t>
      </w:r>
      <w:r>
        <w:rPr>
          <w:rFonts w:hint="eastAsia" w:ascii="仿宋" w:hAnsi="仿宋" w:eastAsia="仿宋" w:cs="Aharoni"/>
          <w:sz w:val="24"/>
          <w:szCs w:val="24"/>
          <w:lang w:eastAsia="zh-CN"/>
        </w:rPr>
        <w:t>卫健局</w:t>
      </w:r>
      <w:r>
        <w:rPr>
          <w:rFonts w:hint="eastAsia" w:ascii="仿宋" w:hAnsi="仿宋" w:eastAsia="仿宋" w:cs="Aharoni"/>
          <w:sz w:val="24"/>
          <w:szCs w:val="24"/>
        </w:rPr>
        <w:t>各类人员1</w:t>
      </w:r>
      <w:r>
        <w:rPr>
          <w:rFonts w:hint="eastAsia" w:ascii="仿宋" w:hAnsi="仿宋" w:eastAsia="仿宋" w:cs="Aharoni"/>
          <w:sz w:val="24"/>
          <w:szCs w:val="24"/>
          <w:lang w:val="en-US" w:eastAsia="zh-CN"/>
        </w:rPr>
        <w:t>755</w:t>
      </w:r>
      <w:r>
        <w:rPr>
          <w:rFonts w:hint="eastAsia" w:ascii="仿宋" w:hAnsi="仿宋" w:eastAsia="仿宋" w:cs="Aharoni"/>
          <w:sz w:val="24"/>
          <w:szCs w:val="24"/>
        </w:rPr>
        <w:t>人，其中：事业</w:t>
      </w:r>
      <w:r>
        <w:rPr>
          <w:rFonts w:hint="eastAsia" w:ascii="仿宋" w:hAnsi="仿宋" w:eastAsia="仿宋" w:cs="Aharoni"/>
          <w:sz w:val="24"/>
          <w:szCs w:val="24"/>
          <w:lang w:eastAsia="zh-CN"/>
        </w:rPr>
        <w:t>编</w:t>
      </w:r>
      <w:r>
        <w:rPr>
          <w:rFonts w:hint="eastAsia" w:ascii="仿宋" w:hAnsi="仿宋" w:eastAsia="仿宋" w:cs="Aharoni"/>
          <w:sz w:val="24"/>
          <w:szCs w:val="24"/>
        </w:rPr>
        <w:t>在职人员</w:t>
      </w:r>
      <w:r>
        <w:rPr>
          <w:rFonts w:hint="eastAsia" w:ascii="仿宋" w:hAnsi="仿宋" w:eastAsia="仿宋" w:cs="Aharoni"/>
          <w:sz w:val="24"/>
          <w:szCs w:val="24"/>
          <w:lang w:val="en-US" w:eastAsia="zh-CN"/>
        </w:rPr>
        <w:t>1154</w:t>
      </w:r>
      <w:r>
        <w:rPr>
          <w:rFonts w:hint="eastAsia" w:ascii="仿宋" w:hAnsi="仿宋" w:eastAsia="仿宋" w:cs="Aharoni"/>
          <w:sz w:val="24"/>
          <w:szCs w:val="24"/>
        </w:rPr>
        <w:t>人，非财政供养行政在职</w:t>
      </w:r>
      <w:r>
        <w:rPr>
          <w:rFonts w:hint="eastAsia" w:ascii="仿宋" w:hAnsi="仿宋" w:eastAsia="仿宋" w:cs="Aharoni"/>
          <w:sz w:val="24"/>
          <w:szCs w:val="24"/>
          <w:lang w:val="en-US" w:eastAsia="zh-CN"/>
        </w:rPr>
        <w:t>601</w:t>
      </w:r>
      <w:r>
        <w:rPr>
          <w:rFonts w:hint="eastAsia" w:ascii="仿宋" w:hAnsi="仿宋" w:eastAsia="仿宋" w:cs="Aharoni"/>
          <w:sz w:val="24"/>
          <w:szCs w:val="24"/>
        </w:rPr>
        <w:t>人。</w:t>
      </w:r>
    </w:p>
    <w:p>
      <w:pPr>
        <w:pStyle w:val="8"/>
        <w:keepNext w:val="0"/>
        <w:keepLines w:val="0"/>
        <w:pageBreakBefore w:val="0"/>
        <w:widowControl/>
        <w:kinsoku/>
        <w:wordWrap/>
        <w:overflowPunct/>
        <w:topLinePunct w:val="0"/>
        <w:autoSpaceDE/>
        <w:autoSpaceDN/>
        <w:bidi w:val="0"/>
        <w:adjustRightInd/>
        <w:snapToGrid/>
        <w:spacing w:line="260" w:lineRule="exact"/>
        <w:ind w:left="0" w:leftChars="0" w:firstLine="0" w:firstLineChars="0"/>
        <w:textAlignment w:val="auto"/>
        <w:rPr>
          <w:rFonts w:hint="eastAsia" w:ascii="仿宋" w:hAnsi="仿宋" w:eastAsia="仿宋" w:cs="Aharoni"/>
          <w:sz w:val="24"/>
          <w:szCs w:val="24"/>
        </w:rPr>
      </w:pPr>
      <w:r>
        <w:rPr>
          <w:rFonts w:hint="eastAsia" w:ascii="仿宋" w:hAnsi="仿宋" w:eastAsia="仿宋" w:cs="Aharoni"/>
          <w:sz w:val="24"/>
          <w:szCs w:val="24"/>
        </w:rPr>
        <w:t>1、贯彻落实党和国家关于卫生和计划生育工作的方针和策和法律法规。组织实施国家卫生标准和技术规范。负责协调推进全县医药卫生体制改革和医疗保障，统筹规范全县卫生和计划生育服务资源配置，统筹规划全县卫生和计划生育事业发展规划和战略目标并组织实施。</w:t>
      </w:r>
      <w:r>
        <w:rPr>
          <w:rFonts w:hint="eastAsia" w:ascii="仿宋" w:hAnsi="仿宋" w:eastAsia="仿宋" w:cs="Aharoni"/>
          <w:sz w:val="24"/>
          <w:szCs w:val="24"/>
        </w:rPr>
        <w:br w:type="textWrapping"/>
      </w:r>
      <w:r>
        <w:rPr>
          <w:rFonts w:hint="eastAsia" w:ascii="仿宋" w:hAnsi="仿宋" w:eastAsia="仿宋" w:cs="Aharoni"/>
          <w:sz w:val="24"/>
          <w:szCs w:val="24"/>
        </w:rPr>
        <w:t>2、负责制定全县疾病预防控制规划、免疫规划、严重危害人民健康的公共卫生问题的干预措施并组织落实，根据国家检疫传染病和监测传染病目录，制定全县卫生应急和紧急医学救援预案、突发公共卫生事件监测和风险评估计划，组织和指导全县突发公共卫生事件各类突发公共事件的医疗卫生救援，发布法定报告传染病疫情信息、突发公共卫生事件应急处置信息。</w:t>
      </w:r>
      <w:r>
        <w:rPr>
          <w:rFonts w:hint="eastAsia" w:ascii="仿宋" w:hAnsi="仿宋" w:eastAsia="仿宋" w:cs="Aharoni"/>
          <w:sz w:val="24"/>
          <w:szCs w:val="24"/>
        </w:rPr>
        <w:br w:type="textWrapping"/>
      </w:r>
      <w:r>
        <w:rPr>
          <w:rFonts w:hint="eastAsia" w:ascii="仿宋" w:hAnsi="仿宋" w:eastAsia="仿宋" w:cs="Aharoni"/>
          <w:sz w:val="24"/>
          <w:szCs w:val="24"/>
        </w:rPr>
        <w:t>3、负责制定职责范围内的职业卫生、放射卫生、环境卫生、学校卫生上、公共场所卫生、饮用水卫生管理规范、标准和政策措施，组织开展相关监测、调查、评估和监督，负责传染病防治监督。组织开展食品安全风险监测、评估，负责国家食品安全标准的宣传贯彻。</w:t>
      </w:r>
      <w:r>
        <w:rPr>
          <w:rFonts w:hint="eastAsia" w:ascii="仿宋" w:hAnsi="仿宋" w:eastAsia="仿宋" w:cs="Aharoni"/>
          <w:sz w:val="24"/>
          <w:szCs w:val="24"/>
        </w:rPr>
        <w:br w:type="textWrapping"/>
      </w:r>
      <w:r>
        <w:rPr>
          <w:rFonts w:hint="eastAsia" w:ascii="仿宋" w:hAnsi="仿宋" w:eastAsia="仿宋" w:cs="Aharoni"/>
          <w:sz w:val="24"/>
          <w:szCs w:val="24"/>
        </w:rPr>
        <w:t>4、负责组织拟订并实施全县卫生和计划生育服务、妇幼卫生发展规划和政策措施，指导全县卫生和计划生育、妇幼卫生服务体系建设，推进基本公共卫生和计划生育服务均等化，完善县、镇、村公共卫生和计划生育服务运行机制和乡村医生管理制度。</w:t>
      </w:r>
      <w:r>
        <w:rPr>
          <w:rFonts w:hint="eastAsia" w:ascii="仿宋" w:hAnsi="仿宋" w:eastAsia="仿宋" w:cs="Aharoni"/>
          <w:sz w:val="24"/>
          <w:szCs w:val="24"/>
        </w:rPr>
        <w:br w:type="textWrapping"/>
      </w:r>
      <w:r>
        <w:rPr>
          <w:rFonts w:hint="eastAsia" w:ascii="仿宋" w:hAnsi="仿宋" w:eastAsia="仿宋" w:cs="Aharoni"/>
          <w:sz w:val="24"/>
          <w:szCs w:val="24"/>
        </w:rPr>
        <w:t>5、负责组织推进全县公立医院改革，建立公益性为导向的绩效考核和评价运行机制，建设和谐医患关系，提出医疗服务和药品价格政策的建议。</w:t>
      </w:r>
      <w:r>
        <w:rPr>
          <w:rFonts w:hint="eastAsia" w:ascii="仿宋" w:hAnsi="仿宋" w:eastAsia="仿宋" w:cs="Aharoni"/>
          <w:sz w:val="24"/>
          <w:szCs w:val="24"/>
        </w:rPr>
        <w:br w:type="textWrapping"/>
      </w:r>
      <w:r>
        <w:rPr>
          <w:rFonts w:hint="eastAsia" w:ascii="仿宋" w:hAnsi="仿宋" w:eastAsia="仿宋" w:cs="Aharoni"/>
          <w:sz w:val="24"/>
          <w:szCs w:val="24"/>
        </w:rPr>
        <w:t>6、贯彻落实国家药物政策和国家基本药物制度，组织、监督、实施全县基本药物的采购、配送、使用的政策蔟，提出全县基本药物价格政策的建议。</w:t>
      </w:r>
      <w:r>
        <w:rPr>
          <w:rFonts w:hint="eastAsia" w:ascii="仿宋" w:hAnsi="仿宋" w:eastAsia="仿宋" w:cs="Aharoni"/>
          <w:sz w:val="24"/>
          <w:szCs w:val="24"/>
        </w:rPr>
        <w:br w:type="textWrapping"/>
      </w:r>
      <w:r>
        <w:rPr>
          <w:rFonts w:hint="eastAsia" w:ascii="仿宋" w:hAnsi="仿宋" w:eastAsia="仿宋" w:cs="Aharoni"/>
          <w:sz w:val="24"/>
          <w:szCs w:val="24"/>
        </w:rPr>
        <w:t>7、贯彻落实国家、省促进出生人口性别平衡的政策措施，组织监测计划生育发展动态，提出发布计划生育安全预警预报信息建议。制定计划生育技术服务管理制度并监督实施。制定优先优育和提高出生人口素质的政策措施并组织实施，推动实施计划生育生殖健康促进计划，降低出生缺陷人口数量。</w:t>
      </w:r>
      <w:r>
        <w:rPr>
          <w:rFonts w:hint="eastAsia" w:ascii="仿宋" w:hAnsi="仿宋" w:eastAsia="仿宋" w:cs="Aharoni"/>
          <w:sz w:val="24"/>
          <w:szCs w:val="24"/>
        </w:rPr>
        <w:br w:type="textWrapping"/>
      </w:r>
      <w:r>
        <w:rPr>
          <w:rFonts w:hint="eastAsia" w:ascii="仿宋" w:hAnsi="仿宋" w:eastAsia="仿宋" w:cs="Aharoni"/>
          <w:sz w:val="24"/>
          <w:szCs w:val="24"/>
        </w:rPr>
        <w:t>8、组织建立全县计划生育利益导向，计划生育特殊困难家庭扶助和促进计划生育家庭发展等机制。负责协调推进有关部门、群众团体履行计划生育工作相关职责，建立与经济社会发展政策的衔接机制，提出稳定低生育水平政策措施。</w:t>
      </w:r>
      <w:r>
        <w:rPr>
          <w:rFonts w:hint="eastAsia" w:ascii="仿宋" w:hAnsi="仿宋" w:eastAsia="仿宋" w:cs="Aharoni"/>
          <w:sz w:val="24"/>
          <w:szCs w:val="24"/>
        </w:rPr>
        <w:br w:type="textWrapping"/>
      </w:r>
      <w:r>
        <w:rPr>
          <w:rFonts w:hint="eastAsia" w:ascii="仿宋" w:hAnsi="仿宋" w:eastAsia="仿宋" w:cs="Aharoni"/>
          <w:sz w:val="24"/>
          <w:szCs w:val="24"/>
        </w:rPr>
        <w:t>9、制定流动人口计划生育服务管理制度并组织落实，推动建立流动人口卫生和计划生育信息共享和公共服务工作机制。</w:t>
      </w:r>
      <w:r>
        <w:rPr>
          <w:rFonts w:hint="eastAsia" w:ascii="仿宋" w:hAnsi="仿宋" w:eastAsia="仿宋" w:cs="Aharoni"/>
          <w:sz w:val="24"/>
          <w:szCs w:val="24"/>
        </w:rPr>
        <w:br w:type="textWrapping"/>
      </w:r>
      <w:r>
        <w:rPr>
          <w:rFonts w:hint="eastAsia" w:ascii="仿宋" w:hAnsi="仿宋" w:eastAsia="仿宋" w:cs="Aharoni"/>
          <w:sz w:val="24"/>
          <w:szCs w:val="24"/>
        </w:rPr>
        <w:t>10、拟订全县卫生和计划生育人才发展规划，指导卫生和计划生育人才队伍建设。加强全科医生等急需紧缺专业人才培养，贯彻落实国家住院医师和专科医师规规范化培训制度。</w:t>
      </w:r>
      <w:r>
        <w:rPr>
          <w:rFonts w:hint="eastAsia" w:ascii="仿宋" w:hAnsi="仿宋" w:eastAsia="仿宋" w:cs="Aharoni"/>
          <w:sz w:val="24"/>
          <w:szCs w:val="24"/>
        </w:rPr>
        <w:br w:type="textWrapping"/>
      </w:r>
      <w:r>
        <w:rPr>
          <w:rFonts w:hint="eastAsia" w:ascii="仿宋" w:hAnsi="仿宋" w:eastAsia="仿宋" w:cs="Aharoni"/>
          <w:sz w:val="24"/>
          <w:szCs w:val="24"/>
        </w:rPr>
        <w:t>11、拟订全县卫生和计划生育科技发展规划，组织实施卫生和计划生育相关科研项目，参与制定医学教育发展规划，组织实施毕业后医学教育和继续医学教育。</w:t>
      </w:r>
      <w:r>
        <w:rPr>
          <w:rFonts w:hint="eastAsia" w:ascii="仿宋" w:hAnsi="仿宋" w:eastAsia="仿宋" w:cs="Aharoni"/>
          <w:sz w:val="24"/>
          <w:szCs w:val="24"/>
        </w:rPr>
        <w:br w:type="textWrapping"/>
      </w:r>
      <w:r>
        <w:rPr>
          <w:rFonts w:hint="eastAsia" w:ascii="仿宋" w:hAnsi="仿宋" w:eastAsia="仿宋" w:cs="Aharoni"/>
          <w:sz w:val="24"/>
          <w:szCs w:val="24"/>
        </w:rPr>
        <w:t>12、指导全县卫生和计划生育工作，完善综合监督执法体系，规范执法行为，监督检查法律法规和政策措施的落实，组织查处重大违法行为。负责拟订计划生育目标管理方案，组织计划生育工作考评，监督计划生育一票否决制。</w:t>
      </w:r>
      <w:r>
        <w:rPr>
          <w:rFonts w:hint="eastAsia" w:ascii="仿宋" w:hAnsi="仿宋" w:eastAsia="仿宋" w:cs="Aharoni"/>
          <w:sz w:val="24"/>
          <w:szCs w:val="24"/>
        </w:rPr>
        <w:br w:type="textWrapping"/>
      </w:r>
      <w:r>
        <w:rPr>
          <w:rFonts w:hint="eastAsia" w:ascii="仿宋" w:hAnsi="仿宋" w:eastAsia="仿宋" w:cs="Aharoni"/>
          <w:sz w:val="24"/>
          <w:szCs w:val="24"/>
        </w:rPr>
        <w:t>13、负责卫生和计划生育宣传，健康教育、健康促进和信息化建设等工作，依法组织实施统计调查，参与县人口基础信息库建设。组织指导国际交流合作与援外工作。</w:t>
      </w:r>
      <w:r>
        <w:rPr>
          <w:rFonts w:hint="eastAsia" w:ascii="仿宋" w:hAnsi="仿宋" w:eastAsia="仿宋" w:cs="Aharoni"/>
          <w:sz w:val="24"/>
          <w:szCs w:val="24"/>
        </w:rPr>
        <w:br w:type="textWrapping"/>
      </w:r>
      <w:r>
        <w:rPr>
          <w:rFonts w:hint="eastAsia" w:ascii="仿宋" w:hAnsi="仿宋" w:eastAsia="仿宋" w:cs="Aharoni"/>
          <w:sz w:val="24"/>
          <w:szCs w:val="24"/>
        </w:rPr>
        <w:t>14、制定并组织实施全县中医药中长期发展规划和技术标准，加强中医药行行业监管。</w:t>
      </w:r>
      <w:r>
        <w:rPr>
          <w:rFonts w:hint="eastAsia" w:ascii="仿宋" w:hAnsi="仿宋" w:eastAsia="仿宋" w:cs="Aharoni"/>
          <w:sz w:val="24"/>
          <w:szCs w:val="24"/>
        </w:rPr>
        <w:br w:type="textWrapping"/>
      </w:r>
      <w:r>
        <w:rPr>
          <w:rFonts w:hint="eastAsia" w:ascii="仿宋" w:hAnsi="仿宋" w:eastAsia="仿宋" w:cs="Aharoni"/>
          <w:sz w:val="24"/>
          <w:szCs w:val="24"/>
        </w:rPr>
        <w:t>15、承担全县重大会议和重大活动的医疗卫生保障工作。</w:t>
      </w:r>
      <w:r>
        <w:rPr>
          <w:rFonts w:hint="eastAsia" w:ascii="仿宋" w:hAnsi="仿宋" w:eastAsia="仿宋" w:cs="Aharoni"/>
          <w:sz w:val="24"/>
          <w:szCs w:val="24"/>
        </w:rPr>
        <w:br w:type="textWrapping"/>
      </w:r>
      <w:r>
        <w:rPr>
          <w:rFonts w:hint="eastAsia" w:ascii="仿宋" w:hAnsi="仿宋" w:eastAsia="仿宋" w:cs="Aharoni"/>
          <w:sz w:val="24"/>
          <w:szCs w:val="24"/>
        </w:rPr>
        <w:t>16、承担县爱国卫生运动委员会，县深化医药卫生体制改革工作领导小组、县血吸虫病防治工作领导小组，县人民政府防治艾工作委员会、县人口与计划生育领导小组的日常工作。</w:t>
      </w:r>
    </w:p>
    <w:p>
      <w:pPr>
        <w:pStyle w:val="8"/>
        <w:keepNext w:val="0"/>
        <w:keepLines w:val="0"/>
        <w:pageBreakBefore w:val="0"/>
        <w:widowControl/>
        <w:kinsoku/>
        <w:wordWrap/>
        <w:overflowPunct/>
        <w:topLinePunct w:val="0"/>
        <w:autoSpaceDE/>
        <w:autoSpaceDN/>
        <w:bidi w:val="0"/>
        <w:adjustRightInd/>
        <w:snapToGrid/>
        <w:spacing w:line="260" w:lineRule="exact"/>
        <w:ind w:left="0" w:leftChars="0" w:firstLine="0" w:firstLineChars="0"/>
        <w:textAlignment w:val="auto"/>
        <w:rPr>
          <w:rFonts w:hint="eastAsia" w:ascii="仿宋" w:hAnsi="仿宋" w:eastAsia="仿宋" w:cs="Aharoni"/>
          <w:sz w:val="24"/>
          <w:szCs w:val="24"/>
        </w:rPr>
      </w:pPr>
      <w:r>
        <w:rPr>
          <w:rFonts w:hint="eastAsia" w:ascii="仿宋" w:hAnsi="仿宋" w:eastAsia="仿宋" w:cs="Aharoni"/>
          <w:sz w:val="24"/>
          <w:szCs w:val="24"/>
        </w:rPr>
        <w:t>17、为规模以上企业提“直通车”服务。</w:t>
      </w:r>
      <w:r>
        <w:rPr>
          <w:rFonts w:hint="eastAsia" w:ascii="仿宋" w:hAnsi="仿宋" w:eastAsia="仿宋" w:cs="Aharoni"/>
          <w:sz w:val="24"/>
          <w:szCs w:val="24"/>
        </w:rPr>
        <w:br w:type="textWrapping"/>
      </w:r>
      <w:r>
        <w:rPr>
          <w:rFonts w:hint="eastAsia" w:ascii="仿宋" w:hAnsi="仿宋" w:eastAsia="仿宋" w:cs="Aharoni"/>
          <w:sz w:val="24"/>
          <w:szCs w:val="24"/>
        </w:rPr>
        <w:t>18、承办上级交办的其他事项。</w:t>
      </w:r>
    </w:p>
    <w:p>
      <w:pPr>
        <w:keepNext w:val="0"/>
        <w:keepLines w:val="0"/>
        <w:pageBreakBefore w:val="0"/>
        <w:widowControl/>
        <w:kinsoku/>
        <w:wordWrap/>
        <w:overflowPunct/>
        <w:topLinePunct w:val="0"/>
        <w:autoSpaceDE/>
        <w:autoSpaceDN/>
        <w:bidi w:val="0"/>
        <w:adjustRightInd/>
        <w:snapToGrid/>
        <w:spacing w:line="260" w:lineRule="exact"/>
        <w:textAlignment w:val="auto"/>
        <w:rPr>
          <w:rFonts w:ascii="仿宋" w:hAnsi="仿宋" w:eastAsia="仿宋" w:cs="Aharoni"/>
          <w:sz w:val="24"/>
          <w:szCs w:val="24"/>
        </w:rPr>
      </w:pPr>
      <w:r>
        <w:rPr>
          <w:rFonts w:hint="eastAsia" w:ascii="仿宋" w:hAnsi="仿宋" w:eastAsia="仿宋" w:cs="Aharoni"/>
          <w:sz w:val="24"/>
          <w:szCs w:val="24"/>
        </w:rPr>
        <w:t>三、</w:t>
      </w:r>
      <w:r>
        <w:rPr>
          <w:rFonts w:hint="eastAsia" w:ascii="仿宋" w:hAnsi="仿宋" w:eastAsia="仿宋" w:cs="Aharoni"/>
          <w:sz w:val="24"/>
          <w:szCs w:val="24"/>
          <w:lang w:eastAsia="zh-CN"/>
        </w:rPr>
        <w:t>2023</w:t>
      </w:r>
      <w:r>
        <w:rPr>
          <w:rFonts w:hint="eastAsia" w:ascii="仿宋" w:hAnsi="仿宋" w:eastAsia="仿宋" w:cs="Aharoni"/>
          <w:sz w:val="24"/>
          <w:szCs w:val="24"/>
        </w:rPr>
        <w:t>年收支情况下</w:t>
      </w:r>
    </w:p>
    <w:p>
      <w:pPr>
        <w:pStyle w:val="8"/>
        <w:keepNext w:val="0"/>
        <w:keepLines w:val="0"/>
        <w:pageBreakBefore w:val="0"/>
        <w:widowControl/>
        <w:kinsoku/>
        <w:wordWrap/>
        <w:overflowPunct/>
        <w:topLinePunct w:val="0"/>
        <w:autoSpaceDE/>
        <w:autoSpaceDN/>
        <w:bidi w:val="0"/>
        <w:adjustRightInd/>
        <w:snapToGrid/>
        <w:spacing w:line="260" w:lineRule="exact"/>
        <w:ind w:left="0" w:firstLine="640"/>
        <w:jc w:val="both"/>
        <w:textAlignment w:val="auto"/>
        <w:rPr>
          <w:rFonts w:hint="default" w:ascii="仿宋" w:hAnsi="仿宋" w:eastAsia="仿宋" w:cs="Aharoni"/>
          <w:bCs/>
          <w:color w:val="000000"/>
          <w:kern w:val="2"/>
          <w:sz w:val="24"/>
          <w:szCs w:val="24"/>
          <w:lang w:val="en-US" w:eastAsia="zh-CN" w:bidi="ar-SA"/>
        </w:rPr>
      </w:pPr>
      <w:r>
        <w:rPr>
          <w:rFonts w:hint="eastAsia" w:ascii="仿宋" w:hAnsi="仿宋" w:eastAsia="仿宋" w:cs="Aharoni"/>
          <w:bCs/>
          <w:color w:val="000000"/>
          <w:kern w:val="2"/>
          <w:sz w:val="24"/>
          <w:szCs w:val="24"/>
          <w:lang w:val="en-US" w:eastAsia="zh-CN" w:bidi="ar-SA"/>
        </w:rPr>
        <w:t>2023年全年支出总计3494.04万元，其中人员经费支出468.4万元，商品服务支出402.5万元，对个人和家庭补助支出1634.9万元（主要包括奖扶特扶人员补助发放、计生手术后遗症人员医药费报销等），其他支出988.24万元.</w:t>
      </w:r>
    </w:p>
    <w:p>
      <w:pPr>
        <w:keepNext w:val="0"/>
        <w:keepLines w:val="0"/>
        <w:pageBreakBefore w:val="0"/>
        <w:widowControl/>
        <w:kinsoku/>
        <w:wordWrap/>
        <w:overflowPunct/>
        <w:topLinePunct w:val="0"/>
        <w:autoSpaceDE/>
        <w:autoSpaceDN/>
        <w:bidi w:val="0"/>
        <w:adjustRightInd/>
        <w:snapToGrid/>
        <w:spacing w:line="260" w:lineRule="exact"/>
        <w:textAlignment w:val="auto"/>
        <w:rPr>
          <w:rFonts w:hint="eastAsia" w:ascii="仿宋" w:hAnsi="仿宋" w:eastAsia="仿宋" w:cs="Aharoni"/>
          <w:sz w:val="24"/>
          <w:szCs w:val="24"/>
        </w:rPr>
      </w:pPr>
      <w:r>
        <w:rPr>
          <w:rFonts w:hint="eastAsia" w:ascii="仿宋" w:hAnsi="仿宋" w:eastAsia="仿宋" w:cs="Aharoni"/>
          <w:sz w:val="24"/>
          <w:szCs w:val="24"/>
        </w:rPr>
        <w:t>四、</w:t>
      </w:r>
      <w:r>
        <w:rPr>
          <w:rFonts w:hint="eastAsia" w:ascii="仿宋" w:hAnsi="仿宋" w:eastAsia="仿宋" w:cs="Aharoni"/>
          <w:sz w:val="24"/>
          <w:szCs w:val="24"/>
          <w:lang w:eastAsia="zh-CN"/>
        </w:rPr>
        <w:t>2023</w:t>
      </w:r>
      <w:r>
        <w:rPr>
          <w:rFonts w:hint="eastAsia" w:ascii="仿宋" w:hAnsi="仿宋" w:eastAsia="仿宋" w:cs="Aharoni"/>
          <w:sz w:val="24"/>
          <w:szCs w:val="24"/>
        </w:rPr>
        <w:t>年度目标完成情况</w:t>
      </w:r>
    </w:p>
    <w:p>
      <w:pPr>
        <w:keepNext w:val="0"/>
        <w:keepLines w:val="0"/>
        <w:pageBreakBefore w:val="0"/>
        <w:widowControl/>
        <w:kinsoku/>
        <w:wordWrap/>
        <w:overflowPunct/>
        <w:topLinePunct w:val="0"/>
        <w:autoSpaceDE/>
        <w:autoSpaceDN/>
        <w:bidi w:val="0"/>
        <w:adjustRightInd/>
        <w:snapToGrid/>
        <w:spacing w:line="260" w:lineRule="exact"/>
        <w:textAlignment w:val="auto"/>
        <w:rPr>
          <w:rFonts w:hint="eastAsia" w:ascii="仿宋" w:hAnsi="仿宋" w:eastAsia="仿宋" w:cs="Aharoni"/>
          <w:sz w:val="24"/>
          <w:szCs w:val="24"/>
          <w:lang w:val="en-US" w:eastAsia="zh-CN"/>
        </w:rPr>
      </w:pPr>
      <w:bookmarkStart w:id="0" w:name="_GoBack"/>
      <w:r>
        <w:rPr>
          <w:rFonts w:hint="eastAsia" w:ascii="仿宋" w:hAnsi="仿宋" w:eastAsia="仿宋" w:cs="Aharoni"/>
          <w:sz w:val="24"/>
          <w:szCs w:val="24"/>
          <w:lang w:val="en-US" w:eastAsia="zh-CN"/>
        </w:rPr>
        <w:t>今年以来，在县委、县政府的正确领导下，县卫健局认真贯彻落实党的二十大精神和省委、市委、县委决策部署，全面推进卫生健康事业发展，现将有关工作总结如下。</w:t>
      </w:r>
    </w:p>
    <w:p>
      <w:pPr>
        <w:keepNext w:val="0"/>
        <w:keepLines w:val="0"/>
        <w:pageBreakBefore w:val="0"/>
        <w:widowControl/>
        <w:kinsoku/>
        <w:wordWrap/>
        <w:overflowPunct/>
        <w:topLinePunct w:val="0"/>
        <w:autoSpaceDE/>
        <w:autoSpaceDN/>
        <w:bidi w:val="0"/>
        <w:adjustRightInd/>
        <w:snapToGrid/>
        <w:spacing w:line="260" w:lineRule="exact"/>
        <w:textAlignment w:val="auto"/>
        <w:rPr>
          <w:rFonts w:hint="eastAsia" w:ascii="仿宋" w:hAnsi="仿宋" w:eastAsia="仿宋" w:cs="Aharoni"/>
          <w:sz w:val="24"/>
          <w:szCs w:val="24"/>
          <w:lang w:val="en-US" w:eastAsia="zh-CN"/>
        </w:rPr>
      </w:pPr>
      <w:r>
        <w:rPr>
          <w:rFonts w:hint="eastAsia" w:ascii="仿宋" w:hAnsi="仿宋" w:eastAsia="仿宋" w:cs="Aharoni"/>
          <w:sz w:val="24"/>
          <w:szCs w:val="24"/>
          <w:lang w:val="en-US" w:eastAsia="zh-CN"/>
        </w:rPr>
        <w:t>一</w:t>
      </w:r>
      <w:r>
        <w:rPr>
          <w:rFonts w:hint="eastAsia" w:ascii="仿宋" w:hAnsi="仿宋" w:eastAsia="仿宋" w:cs="Aharoni"/>
          <w:sz w:val="24"/>
          <w:szCs w:val="24"/>
          <w:lang w:eastAsia="zh-CN"/>
        </w:rPr>
        <w:t>、</w:t>
      </w:r>
      <w:r>
        <w:rPr>
          <w:rFonts w:hint="eastAsia" w:ascii="仿宋" w:hAnsi="仿宋" w:eastAsia="仿宋" w:cs="Aharoni"/>
          <w:sz w:val="24"/>
          <w:szCs w:val="24"/>
        </w:rPr>
        <w:t>202</w:t>
      </w:r>
      <w:r>
        <w:rPr>
          <w:rFonts w:hint="eastAsia" w:ascii="仿宋" w:hAnsi="仿宋" w:eastAsia="仿宋" w:cs="Aharoni"/>
          <w:sz w:val="24"/>
          <w:szCs w:val="24"/>
          <w:lang w:val="en-US" w:eastAsia="zh-CN"/>
        </w:rPr>
        <w:t>3</w:t>
      </w:r>
      <w:r>
        <w:rPr>
          <w:rFonts w:hint="eastAsia" w:ascii="仿宋" w:hAnsi="仿宋" w:eastAsia="仿宋" w:cs="Aharoni"/>
          <w:sz w:val="24"/>
          <w:szCs w:val="24"/>
        </w:rPr>
        <w:t>年工作</w:t>
      </w:r>
      <w:r>
        <w:rPr>
          <w:rFonts w:hint="eastAsia" w:ascii="仿宋" w:hAnsi="仿宋" w:eastAsia="仿宋" w:cs="Aharoni"/>
          <w:sz w:val="24"/>
          <w:szCs w:val="24"/>
          <w:lang w:eastAsia="zh-CN"/>
        </w:rPr>
        <w:t>情况</w:t>
      </w:r>
    </w:p>
    <w:p>
      <w:pPr>
        <w:keepNext w:val="0"/>
        <w:keepLines w:val="0"/>
        <w:pageBreakBefore w:val="0"/>
        <w:widowControl/>
        <w:kinsoku/>
        <w:wordWrap/>
        <w:overflowPunct/>
        <w:topLinePunct w:val="0"/>
        <w:autoSpaceDE/>
        <w:autoSpaceDN/>
        <w:bidi w:val="0"/>
        <w:adjustRightInd/>
        <w:snapToGrid/>
        <w:spacing w:line="260" w:lineRule="exact"/>
        <w:textAlignment w:val="auto"/>
        <w:rPr>
          <w:rFonts w:hint="eastAsia" w:ascii="仿宋" w:hAnsi="仿宋" w:eastAsia="仿宋" w:cs="Aharoni"/>
          <w:sz w:val="24"/>
          <w:szCs w:val="24"/>
          <w:lang w:eastAsia="zh-CN"/>
        </w:rPr>
      </w:pPr>
      <w:r>
        <w:rPr>
          <w:rFonts w:hint="eastAsia" w:ascii="仿宋" w:hAnsi="仿宋" w:eastAsia="仿宋" w:cs="Aharoni"/>
          <w:sz w:val="24"/>
          <w:szCs w:val="24"/>
          <w:lang w:eastAsia="zh-CN"/>
        </w:rPr>
        <w:t>全力推动大健康产业发展。一是加大政策引领，科学制订规划。根据市委、市政府大健康产业重点围绕“医、药、养、健、游、护”六要素发展要求，县委、县政府将养老事业纳入全县“十四五”经济社会发展规划，研究出台了《嘉鱼县“十四五”老龄事业发展规划》，拟定了《关于推进强县工程试点健全养老服务体系实施方案》。二是加快医养建设，开展医养服务。整合公立医院资源办养老，在县人民医院整合已有的中央空调、新风系统、中心供氧、中心吸引、安全监控系统、适老化无障碍设施等资源，投入60万元，建成50张医养床位投入使用。自运营以来，入住老人53人次。目前全县公立医院利用富余床位办养老已建成床位</w:t>
      </w:r>
      <w:r>
        <w:rPr>
          <w:rFonts w:hint="eastAsia" w:ascii="仿宋" w:hAnsi="仿宋" w:eastAsia="仿宋" w:cs="Aharoni"/>
          <w:sz w:val="24"/>
          <w:szCs w:val="24"/>
          <w:lang w:val="en-US" w:eastAsia="zh-CN"/>
        </w:rPr>
        <w:t>23</w:t>
      </w:r>
      <w:r>
        <w:rPr>
          <w:rFonts w:hint="eastAsia" w:ascii="仿宋" w:hAnsi="仿宋" w:eastAsia="仿宋" w:cs="Aharoni"/>
          <w:sz w:val="24"/>
          <w:szCs w:val="24"/>
          <w:lang w:eastAsia="zh-CN"/>
        </w:rPr>
        <w:t>0张，其中县人民医院建成床位50张，县中医院建成床位</w:t>
      </w:r>
      <w:r>
        <w:rPr>
          <w:rFonts w:hint="eastAsia" w:ascii="仿宋" w:hAnsi="仿宋" w:eastAsia="仿宋" w:cs="Aharoni"/>
          <w:sz w:val="24"/>
          <w:szCs w:val="24"/>
          <w:lang w:val="en-US" w:eastAsia="zh-CN"/>
        </w:rPr>
        <w:t>5</w:t>
      </w:r>
      <w:r>
        <w:rPr>
          <w:rFonts w:hint="eastAsia" w:ascii="仿宋" w:hAnsi="仿宋" w:eastAsia="仿宋" w:cs="Aharoni"/>
          <w:sz w:val="24"/>
          <w:szCs w:val="24"/>
          <w:lang w:eastAsia="zh-CN"/>
        </w:rPr>
        <w:t>0张，各镇卫生院建成床位</w:t>
      </w:r>
      <w:r>
        <w:rPr>
          <w:rFonts w:hint="eastAsia" w:ascii="仿宋" w:hAnsi="仿宋" w:eastAsia="仿宋" w:cs="Aharoni"/>
          <w:sz w:val="24"/>
          <w:szCs w:val="24"/>
          <w:lang w:val="en-US" w:eastAsia="zh-CN"/>
        </w:rPr>
        <w:t>1</w:t>
      </w:r>
      <w:r>
        <w:rPr>
          <w:rFonts w:hint="eastAsia" w:ascii="仿宋" w:hAnsi="仿宋" w:eastAsia="仿宋" w:cs="Aharoni"/>
          <w:sz w:val="24"/>
          <w:szCs w:val="24"/>
          <w:lang w:eastAsia="zh-CN"/>
        </w:rPr>
        <w:t>30张。三是利用社会资本办康养。我县引进武汉军威文化传播集团有限公司投资30亿元，建设金色年华旅游度假区，康养产业板块主要包括军威医院和康养公寓，已建成康养公寓760套，康养床位1416张。另外山湖温泉、蓝城春风田野小镇、陆口旅游度假区等6大旅游企业开发康养产业，打造我县集医疗、医药、康养、康体、康旅等新型养老高地，项目建成后，全县康养床位将超过3000张。</w:t>
      </w:r>
    </w:p>
    <w:p>
      <w:pPr>
        <w:keepNext w:val="0"/>
        <w:keepLines w:val="0"/>
        <w:pageBreakBefore w:val="0"/>
        <w:widowControl/>
        <w:kinsoku/>
        <w:wordWrap/>
        <w:overflowPunct/>
        <w:topLinePunct w:val="0"/>
        <w:autoSpaceDE/>
        <w:autoSpaceDN/>
        <w:bidi w:val="0"/>
        <w:adjustRightInd/>
        <w:snapToGrid/>
        <w:spacing w:line="260" w:lineRule="exact"/>
        <w:textAlignment w:val="auto"/>
        <w:rPr>
          <w:rFonts w:hint="eastAsia" w:ascii="仿宋" w:hAnsi="仿宋" w:eastAsia="仿宋" w:cs="Aharoni"/>
          <w:sz w:val="24"/>
          <w:szCs w:val="24"/>
          <w:lang w:val="en-US" w:eastAsia="zh-CN"/>
        </w:rPr>
      </w:pPr>
      <w:r>
        <w:rPr>
          <w:rFonts w:hint="eastAsia" w:ascii="仿宋" w:hAnsi="仿宋" w:eastAsia="仿宋" w:cs="Aharoni"/>
          <w:sz w:val="24"/>
          <w:szCs w:val="24"/>
          <w:lang w:val="en-US" w:eastAsia="zh-CN"/>
        </w:rPr>
        <w:t>（二）做实做细妇幼健康服务。大力开展免费两癌筛查。2023年截止11月完成免费宫颈癌筛查11801人，乳腺癌筛查8864人。按照省、市新生儿疾病筛查方案的要求，加强新生儿疾病、听力筛查工作，规范收集、递送血样标本，及时反馈检查结果，对可疑阳性病例及时召回复检，并进行追踪随访。1-11月份，县内医疗机构住院分娩活产1150例，完成新生儿遗传代谢性疾病筛查1144例（筛查率99.48%）、新生儿听力筛查1143例（筛查率99.39%）、新生儿先天性心脏病筛查1133例（筛查率98.52%）。</w:t>
      </w:r>
    </w:p>
    <w:p>
      <w:pPr>
        <w:keepNext w:val="0"/>
        <w:keepLines w:val="0"/>
        <w:pageBreakBefore w:val="0"/>
        <w:widowControl/>
        <w:kinsoku/>
        <w:wordWrap/>
        <w:overflowPunct/>
        <w:topLinePunct w:val="0"/>
        <w:autoSpaceDE/>
        <w:autoSpaceDN/>
        <w:bidi w:val="0"/>
        <w:adjustRightInd/>
        <w:snapToGrid/>
        <w:spacing w:line="260" w:lineRule="exact"/>
        <w:textAlignment w:val="auto"/>
        <w:rPr>
          <w:rFonts w:hint="eastAsia" w:ascii="仿宋" w:hAnsi="仿宋" w:eastAsia="仿宋" w:cs="Aharoni"/>
          <w:sz w:val="24"/>
          <w:szCs w:val="24"/>
          <w:lang w:val="en-US" w:eastAsia="zh-CN"/>
        </w:rPr>
      </w:pPr>
      <w:r>
        <w:rPr>
          <w:rFonts w:hint="eastAsia" w:ascii="仿宋" w:hAnsi="仿宋" w:eastAsia="仿宋" w:cs="Aharoni"/>
          <w:sz w:val="24"/>
          <w:szCs w:val="24"/>
          <w:lang w:val="en-US" w:eastAsia="zh-CN"/>
        </w:rPr>
        <w:t>（三）深入实施强县工程。一是构建紧密型县域医共体。建强县人民医院龙头地位，投资16亿元按三级医院标准整体迁建县人民医院，其中一期工程建设传染病楼、发热门诊及120急救中心，二期工程建设门诊医技楼、普通住院、科研办公楼、后勤保障楼、值班公寓，到2025年将达到三级医院基本设施标准。建立以县人民医院为龙头的紧密型医共体，推进信息、急救、药品耗材管理、医保基金管理“四大中心”互联共享，实现行政、人事、财务、业务、信息、绩效“六统一”管理，达到管理一体化、资源一体化。二是建强基层人才队伍。实施基层卫生人才能力提升培训项目，2023年招聘36名专业技术人员。依托县内武汉东湖学院和首义学院两所高校，增设护理专业，护理人才的培养开始落地化发展。落实“一村一名大学生村医”全覆盖，2018年以来我县共委培64名大学生村医，通过通过在岗村医学历提升、乡镇卫生院派驻巡诊，我县目前已实现大学生村医全覆盖。县人民医院、县中医院通过医共体建设，对口帮扶9家基层基疗卫生机构、88家村卫生室，建立一名牵头医院领导和一个临床科室帮扶一个镇卫生院（社区卫生服务中心）的工作机制，建设上下级医生业务交流平台，设立基层单位医共体诊室，县级医院通过每周派驻坐诊、住院查房等形式，下沉优质医疗资源。截至目前，已下派县级医院医生 324人次，开展住院查房340人次，业务培训20期，培训基层医务人员914人次。三是提高智慧医疗水平。以县人民医院为龙头建设心电中心，实现县级医院与镇卫生院（社区卫生服务中心）、村卫生室影像、心电以互联互通的远程医疗体系，上接武汉大学中南医院和省第三人民医院，打通镇村影像、心电远程诊断信息网络。实行专家24小时值班坐诊，镇村影像、心电随时上传，专家诊断10分钟内回复，做到“小病不出村镇、大病不出县”，2023年县域内就诊率92.48%。下一步拟建立远程诊断、影像、心电、处方审核、双向转诊、检验“六大中心”，医共体内检查检验结果互认。</w:t>
      </w:r>
    </w:p>
    <w:p>
      <w:pPr>
        <w:keepNext w:val="0"/>
        <w:keepLines w:val="0"/>
        <w:pageBreakBefore w:val="0"/>
        <w:widowControl/>
        <w:kinsoku/>
        <w:wordWrap/>
        <w:overflowPunct/>
        <w:topLinePunct w:val="0"/>
        <w:autoSpaceDE/>
        <w:autoSpaceDN/>
        <w:bidi w:val="0"/>
        <w:adjustRightInd/>
        <w:snapToGrid/>
        <w:spacing w:line="260" w:lineRule="exact"/>
        <w:textAlignment w:val="auto"/>
        <w:rPr>
          <w:rFonts w:hint="eastAsia" w:ascii="仿宋" w:hAnsi="仿宋" w:eastAsia="仿宋" w:cs="Aharoni"/>
          <w:sz w:val="24"/>
          <w:szCs w:val="24"/>
          <w:lang w:val="en-US" w:eastAsia="zh-CN"/>
        </w:rPr>
      </w:pPr>
      <w:r>
        <w:rPr>
          <w:rFonts w:hint="eastAsia" w:ascii="仿宋" w:hAnsi="仿宋" w:eastAsia="仿宋" w:cs="Aharoni"/>
          <w:sz w:val="24"/>
          <w:szCs w:val="24"/>
          <w:lang w:val="en-US" w:eastAsia="zh-CN"/>
        </w:rPr>
        <w:t>（四）全面提升妇幼保健和中医药服务能力。一是打造县域中医联盟。在县委县政府的大力支持下，我县于今年8月正式启动中医联盟。嘉鱼县中医医院作为中医联盟龙头单位，以县镇村三级分级分类的布局，镇设国医堂，中心村设中医角，先后在山湖温泉风景区、县社会福利院、潘家湾卫生院、高铁卫生院、县中医医院门诊设立医养中心服务站推广中医适宜技术。截止目前，潘家湾服务点接诊167人次、县福利院服务点接诊518人次；县中医院康养中心自试营业以来已接收失能患者6名，设置半失能和全失能区域。开展中医适宜技术项目10余项，包括头部刮痧，全背部温通刮沙，督脉灸，拔罐等项目。二是积极推进“妇幼健康+中医药”融合发展模式。将县妇幼保健院纳入中医医共体，设置中医儿童保健室，开展“中药穴位贴敷疗法”。县中医院定期安排专家坐诊与带教，带动妇幼保健中医药服务能力整体提升。选派人员赴省妇幼进修学习中医保健专业知识，通过扩招、培养、带教等多种形式不断完善人才梯队，开展更多中医治疗项目，目前已购置相关设备，拟开展电子艾灸项目。</w:t>
      </w:r>
    </w:p>
    <w:p>
      <w:pPr>
        <w:keepNext w:val="0"/>
        <w:keepLines w:val="0"/>
        <w:pageBreakBefore w:val="0"/>
        <w:widowControl/>
        <w:kinsoku/>
        <w:wordWrap/>
        <w:overflowPunct/>
        <w:topLinePunct w:val="0"/>
        <w:autoSpaceDE/>
        <w:autoSpaceDN/>
        <w:bidi w:val="0"/>
        <w:adjustRightInd/>
        <w:snapToGrid/>
        <w:spacing w:line="260" w:lineRule="exact"/>
        <w:textAlignment w:val="auto"/>
        <w:rPr>
          <w:rFonts w:hint="eastAsia" w:ascii="仿宋" w:hAnsi="仿宋" w:eastAsia="仿宋" w:cs="Aharoni"/>
          <w:sz w:val="24"/>
          <w:szCs w:val="24"/>
          <w:lang w:val="en-US" w:eastAsia="zh-CN"/>
        </w:rPr>
      </w:pPr>
      <w:r>
        <w:rPr>
          <w:rFonts w:hint="eastAsia" w:ascii="仿宋" w:hAnsi="仿宋" w:eastAsia="仿宋" w:cs="Aharoni"/>
          <w:sz w:val="24"/>
          <w:szCs w:val="24"/>
          <w:lang w:val="en-US" w:eastAsia="zh-CN"/>
        </w:rPr>
        <w:t>三是加强风险防控体系建设。严格落实落实首诊负责制、高危孕产妇专案管理。对妊娠风险分级为“橙色”、“红色”和“紫色”的孕产妇，纳入高危孕产妇专案管理，保证专人专案、全程管理、动态监管、集中救治，确保做到“发现一例、登记一例、报告一例、管理一例、救治一例”。认真开展风险预警评估，做好筛查管理与跟踪随访工作，做到关口前移，确保高危孕产妇母婴安全。建立内部联动管理机制。依托县医院和县中医院被省级三甲医院托管的资源，建立我县危重孕产妇急救中心，对接省市级医疗专家业务技术指导，协助基层开展危重孕产妇转诊、会诊、急救的联系及协调工作，保障绿色通道畅通。</w:t>
      </w:r>
    </w:p>
    <w:p>
      <w:pPr>
        <w:keepNext w:val="0"/>
        <w:keepLines w:val="0"/>
        <w:pageBreakBefore w:val="0"/>
        <w:widowControl/>
        <w:kinsoku/>
        <w:wordWrap/>
        <w:overflowPunct/>
        <w:topLinePunct w:val="0"/>
        <w:autoSpaceDE/>
        <w:autoSpaceDN/>
        <w:bidi w:val="0"/>
        <w:adjustRightInd/>
        <w:snapToGrid/>
        <w:spacing w:line="260" w:lineRule="exact"/>
        <w:textAlignment w:val="auto"/>
        <w:rPr>
          <w:rFonts w:hint="eastAsia" w:ascii="仿宋" w:hAnsi="仿宋" w:eastAsia="仿宋" w:cs="Aharoni"/>
          <w:sz w:val="24"/>
          <w:szCs w:val="24"/>
          <w:lang w:val="en-US" w:eastAsia="zh-CN"/>
        </w:rPr>
      </w:pPr>
      <w:r>
        <w:rPr>
          <w:rFonts w:hint="eastAsia" w:ascii="仿宋" w:hAnsi="仿宋" w:eastAsia="仿宋" w:cs="Aharoni"/>
          <w:sz w:val="24"/>
          <w:szCs w:val="24"/>
          <w:lang w:val="en-US" w:eastAsia="zh-CN"/>
        </w:rPr>
        <w:t>（五）全面提升传染病防控能力。一是提升监测预警与应急指挥能力。</w:t>
      </w:r>
      <w:r>
        <w:rPr>
          <w:rFonts w:hint="eastAsia" w:ascii="仿宋" w:hAnsi="仿宋" w:eastAsia="仿宋" w:cs="Aharoni"/>
          <w:sz w:val="24"/>
          <w:szCs w:val="24"/>
        </w:rPr>
        <w:t>组织开展了辖区内公共卫生应急指挥决策系统部署实施及医疗机构数据的互联互通工作；组建了传染病监测预警处置中心，依托省智能预警系统，及早发现疫情的预警信号，有效落实综合性防控措施，做到早发现、早报告、早处置。</w:t>
      </w:r>
      <w:r>
        <w:rPr>
          <w:rFonts w:hint="eastAsia" w:ascii="仿宋" w:hAnsi="仿宋" w:eastAsia="仿宋" w:cs="Aharoni"/>
          <w:sz w:val="24"/>
          <w:szCs w:val="24"/>
          <w:lang w:eastAsia="zh-CN"/>
        </w:rPr>
        <w:t>二是开展新型冠状病毒感染、流行性感冒监测。每周在全县福利院（养老机构）采样进行新冠病毒检测，1-11月份共采样检测8044人份；在哨点医院（县人民医院）发热门诊采样进行新冠病毒、流感病毒检测，1-11月份共采样检测896人份。三是做好医疗服务应对工作。全县设置呼吸道疾病患者床位86张，可临时新增48张，目前正在组建儿童呼吸道感染性疾病县级医疗救治专家组。严密监测我县每日发热病人数，每天按时上报呼吸道感染性疾病数据，关注儿科、呼吸内科、发热门诊的门诊量。</w:t>
      </w:r>
    </w:p>
    <w:p>
      <w:pPr>
        <w:keepNext w:val="0"/>
        <w:keepLines w:val="0"/>
        <w:pageBreakBefore w:val="0"/>
        <w:widowControl/>
        <w:kinsoku/>
        <w:wordWrap/>
        <w:overflowPunct/>
        <w:topLinePunct w:val="0"/>
        <w:autoSpaceDE/>
        <w:autoSpaceDN/>
        <w:bidi w:val="0"/>
        <w:adjustRightInd/>
        <w:snapToGrid/>
        <w:spacing w:line="260" w:lineRule="exact"/>
        <w:textAlignment w:val="auto"/>
        <w:rPr>
          <w:rFonts w:hint="eastAsia" w:ascii="仿宋" w:hAnsi="仿宋" w:eastAsia="仿宋" w:cs="Aharoni"/>
          <w:sz w:val="24"/>
          <w:szCs w:val="24"/>
          <w:lang w:eastAsia="zh-CN"/>
        </w:rPr>
      </w:pPr>
      <w:r>
        <w:rPr>
          <w:rFonts w:hint="eastAsia" w:ascii="仿宋" w:hAnsi="仿宋" w:eastAsia="仿宋" w:cs="Aharoni"/>
          <w:sz w:val="24"/>
          <w:szCs w:val="24"/>
          <w:lang w:val="en-US" w:eastAsia="zh-CN"/>
        </w:rPr>
        <w:t>（六）</w:t>
      </w:r>
      <w:r>
        <w:rPr>
          <w:rFonts w:hint="eastAsia" w:ascii="仿宋" w:hAnsi="仿宋" w:eastAsia="仿宋" w:cs="Aharoni"/>
          <w:sz w:val="24"/>
          <w:szCs w:val="24"/>
        </w:rPr>
        <w:t>抓紧抓实</w:t>
      </w:r>
      <w:r>
        <w:rPr>
          <w:rFonts w:hint="eastAsia" w:ascii="仿宋" w:hAnsi="仿宋" w:eastAsia="仿宋" w:cs="Aharoni"/>
          <w:sz w:val="24"/>
          <w:szCs w:val="24"/>
          <w:lang w:eastAsia="zh-CN"/>
        </w:rPr>
        <w:t>清廉医院建设工作。一是加强组织领导，压实工作责任。将清廉医院建设和医疗机构不合理医疗检查及用药专项治理纳入年度重点工作计划，定期</w:t>
      </w:r>
      <w:r>
        <w:rPr>
          <w:rFonts w:hint="eastAsia" w:ascii="仿宋" w:hAnsi="仿宋" w:eastAsia="仿宋" w:cs="Aharoni"/>
          <w:sz w:val="24"/>
          <w:szCs w:val="24"/>
        </w:rPr>
        <w:t>召开</w:t>
      </w:r>
      <w:r>
        <w:rPr>
          <w:rFonts w:hint="eastAsia" w:ascii="仿宋" w:hAnsi="仿宋" w:eastAsia="仿宋" w:cs="Aharoni"/>
          <w:sz w:val="24"/>
          <w:szCs w:val="24"/>
          <w:lang w:eastAsia="zh-CN"/>
        </w:rPr>
        <w:t>部门联席会议、党组</w:t>
      </w:r>
      <w:r>
        <w:rPr>
          <w:rFonts w:hint="eastAsia" w:ascii="仿宋" w:hAnsi="仿宋" w:eastAsia="仿宋" w:cs="Aharoni"/>
          <w:sz w:val="24"/>
          <w:szCs w:val="24"/>
        </w:rPr>
        <w:t>会、</w:t>
      </w:r>
      <w:r>
        <w:rPr>
          <w:rFonts w:hint="eastAsia" w:ascii="仿宋" w:hAnsi="仿宋" w:eastAsia="仿宋" w:cs="Aharoni"/>
          <w:sz w:val="24"/>
          <w:szCs w:val="24"/>
          <w:lang w:eastAsia="zh-CN"/>
        </w:rPr>
        <w:t>专题部署会，</w:t>
      </w:r>
      <w:r>
        <w:rPr>
          <w:rFonts w:hint="eastAsia" w:ascii="仿宋" w:hAnsi="仿宋" w:eastAsia="仿宋" w:cs="Aharoni"/>
          <w:sz w:val="24"/>
          <w:szCs w:val="24"/>
        </w:rPr>
        <w:t>研究贯彻举措。实行领导常态包点联系，建立“日常督促、重点指导、互评互查”督导机制</w:t>
      </w:r>
      <w:r>
        <w:rPr>
          <w:rFonts w:hint="eastAsia" w:ascii="仿宋" w:hAnsi="仿宋" w:eastAsia="仿宋" w:cs="Aharoni"/>
          <w:sz w:val="24"/>
          <w:szCs w:val="24"/>
          <w:lang w:eastAsia="zh-CN"/>
        </w:rPr>
        <w:t>。联合发改、公安、人社、市场、医保、政数等部门，</w:t>
      </w:r>
      <w:r>
        <w:rPr>
          <w:rFonts w:hint="eastAsia" w:ascii="仿宋" w:hAnsi="仿宋" w:eastAsia="仿宋" w:cs="Aharoni"/>
          <w:sz w:val="24"/>
          <w:szCs w:val="24"/>
        </w:rPr>
        <w:t>通过工作提醒、专项点评、情况通报等，全过程把关纠偏、严督实导，形成了上下联动、一体推进的工作格局。</w:t>
      </w:r>
      <w:r>
        <w:rPr>
          <w:rFonts w:hint="eastAsia" w:ascii="仿宋" w:hAnsi="仿宋" w:eastAsia="仿宋" w:cs="Aharoni"/>
          <w:sz w:val="24"/>
          <w:szCs w:val="24"/>
          <w:lang w:eastAsia="zh-CN"/>
        </w:rPr>
        <w:t>二是坚持党建引领,加强行风建设。扎实开展“党史学习教育”“党员主题日”“三会一课”等活动，让主题教育活动成为党员干部和医务人员强信念、砺品格的政治自觉。重点抓风险岗位“关键少数”，开展身边腐败典型案例“以案说法”警示教育，《电视问政》对照检查，深度学习《廉洁从业九项准则》，签订《廉洁行医承诺书》。三是坚持标本兼治，强化查改实效。持续整治不合理医疗检查。来联合县医保局对全县各医疗机构进行了全覆盖督导检查，采取“现场抽查、查阅资料“的方式，发现问题14个，市级交叉检查发现问题17个，全部落实了整改。处理相关医务人员50人，其中约谈26人，通报批评及书面检讨24人。持续开展“三假”专项整治。开展定点医疗机构集中宣传活动，组织工作人员签订行业诚信自律承诺书，共查处定点医疗机构3家，查处违规金额6.17万元，行政处罚12.34万元。</w:t>
      </w:r>
    </w:p>
    <w:p>
      <w:pPr>
        <w:keepNext w:val="0"/>
        <w:keepLines w:val="0"/>
        <w:pageBreakBefore w:val="0"/>
        <w:widowControl/>
        <w:kinsoku/>
        <w:wordWrap/>
        <w:overflowPunct/>
        <w:topLinePunct w:val="0"/>
        <w:autoSpaceDE/>
        <w:autoSpaceDN/>
        <w:bidi w:val="0"/>
        <w:adjustRightInd/>
        <w:snapToGrid/>
        <w:spacing w:line="260" w:lineRule="exact"/>
        <w:textAlignment w:val="auto"/>
        <w:rPr>
          <w:rFonts w:hint="eastAsia" w:ascii="仿宋" w:hAnsi="仿宋" w:eastAsia="仿宋" w:cs="Aharoni"/>
          <w:sz w:val="24"/>
          <w:szCs w:val="24"/>
          <w:lang w:val="en-US" w:eastAsia="zh-CN"/>
        </w:rPr>
      </w:pPr>
      <w:r>
        <w:rPr>
          <w:rFonts w:hint="eastAsia" w:ascii="仿宋" w:hAnsi="仿宋" w:eastAsia="仿宋" w:cs="Aharoni"/>
          <w:sz w:val="24"/>
          <w:szCs w:val="24"/>
          <w:lang w:val="en-US" w:eastAsia="zh-CN"/>
        </w:rPr>
        <w:t>(七）全面落实依法行政。一是优化法治化营商环境。全面推进职业病防治工作，推行“教育引导、限期改正、逾期处罚”的“三步法”监督执法模式。做好公共场所卫生监督工作，对微小个体工商户放宽监管。严格按照政务服务中心的要求，全面推进政府职能转变，减证便民。对106项卫生行政许可项目进行了清理，新增了9项下沉至镇、社区、村。二是加强执法监督。全面开展医疗市场日常监督。对辖区内163家医疗机构及7家消毒产品生产企业进行了全面的日常监督，共出动执法人员550余人次，现场制作各类执法文书700余份。对城区147家美容美发店、94家美容店、113家宾馆、旅社、55家沐足店，7家超市，5家游泳衣、3家电影院、8家KTV进行监督检查，并下达了监督意见书。三是规范行政许可服务。截止11月底共办理了行政许可、备案、校验等1145件，其中：医疗机构216件，放射诊疗许可7件，生活饮用水1件，公共场所许可94件，医技人员注册、变更282件，老年卡545件。完成了2023年度国家双随机餐饮具集中消毒服务单位抽查任务，确保消毒餐饮具抽检检测合格率高于全国水平。</w:t>
      </w:r>
    </w:p>
    <w:p>
      <w:pPr>
        <w:keepNext w:val="0"/>
        <w:keepLines w:val="0"/>
        <w:pageBreakBefore w:val="0"/>
        <w:widowControl/>
        <w:kinsoku/>
        <w:wordWrap/>
        <w:overflowPunct/>
        <w:topLinePunct w:val="0"/>
        <w:autoSpaceDE/>
        <w:autoSpaceDN/>
        <w:bidi w:val="0"/>
        <w:adjustRightInd/>
        <w:snapToGrid/>
        <w:spacing w:line="260" w:lineRule="exact"/>
        <w:textAlignment w:val="auto"/>
        <w:rPr>
          <w:rFonts w:hint="eastAsia" w:ascii="仿宋" w:hAnsi="仿宋" w:eastAsia="仿宋" w:cs="Aharoni"/>
          <w:sz w:val="24"/>
          <w:szCs w:val="24"/>
          <w:lang w:eastAsia="zh-CN"/>
        </w:rPr>
      </w:pPr>
      <w:r>
        <w:rPr>
          <w:rFonts w:hint="eastAsia" w:ascii="仿宋" w:hAnsi="仿宋" w:eastAsia="仿宋" w:cs="Aharoni"/>
          <w:sz w:val="24"/>
          <w:szCs w:val="24"/>
          <w:lang w:val="en-US" w:eastAsia="zh-CN"/>
        </w:rPr>
        <w:t>二</w:t>
      </w:r>
      <w:r>
        <w:rPr>
          <w:rFonts w:hint="eastAsia" w:ascii="仿宋" w:hAnsi="仿宋" w:eastAsia="仿宋" w:cs="Aharoni"/>
          <w:sz w:val="24"/>
          <w:szCs w:val="24"/>
          <w:lang w:eastAsia="zh-CN"/>
        </w:rPr>
        <w:t>、下一步工作</w:t>
      </w:r>
    </w:p>
    <w:p>
      <w:pPr>
        <w:keepNext w:val="0"/>
        <w:keepLines w:val="0"/>
        <w:pageBreakBefore w:val="0"/>
        <w:widowControl/>
        <w:kinsoku/>
        <w:wordWrap/>
        <w:overflowPunct/>
        <w:topLinePunct w:val="0"/>
        <w:autoSpaceDE/>
        <w:autoSpaceDN/>
        <w:bidi w:val="0"/>
        <w:adjustRightInd/>
        <w:snapToGrid/>
        <w:spacing w:line="260" w:lineRule="exact"/>
        <w:textAlignment w:val="auto"/>
        <w:rPr>
          <w:rFonts w:hint="eastAsia" w:ascii="仿宋" w:hAnsi="仿宋" w:eastAsia="仿宋" w:cs="Aharoni"/>
          <w:sz w:val="24"/>
          <w:szCs w:val="24"/>
          <w:lang w:val="en-US" w:eastAsia="zh-CN"/>
        </w:rPr>
      </w:pPr>
      <w:r>
        <w:rPr>
          <w:rFonts w:hint="eastAsia" w:ascii="仿宋" w:hAnsi="仿宋" w:eastAsia="仿宋" w:cs="Aharoni"/>
          <w:sz w:val="24"/>
          <w:szCs w:val="24"/>
          <w:lang w:val="en-US" w:eastAsia="zh-CN"/>
        </w:rPr>
        <w:t>（一）聚焦各项主要指标。全面完成人均预期寿命、孕产妇死亡率、婴儿死亡率、5岁以下儿童死亡率、每千人口托位数、居民健康素养水平、法定传染病发病率等各项主要指标。</w:t>
      </w:r>
    </w:p>
    <w:p>
      <w:pPr>
        <w:keepNext w:val="0"/>
        <w:keepLines w:val="0"/>
        <w:pageBreakBefore w:val="0"/>
        <w:widowControl/>
        <w:kinsoku/>
        <w:wordWrap/>
        <w:overflowPunct/>
        <w:topLinePunct w:val="0"/>
        <w:autoSpaceDE/>
        <w:autoSpaceDN/>
        <w:bidi w:val="0"/>
        <w:adjustRightInd/>
        <w:snapToGrid/>
        <w:spacing w:line="260" w:lineRule="exact"/>
        <w:textAlignment w:val="auto"/>
        <w:rPr>
          <w:rFonts w:hint="eastAsia" w:ascii="仿宋" w:hAnsi="仿宋" w:eastAsia="仿宋" w:cs="Aharoni"/>
          <w:sz w:val="24"/>
          <w:szCs w:val="24"/>
          <w:lang w:val="en-US" w:eastAsia="zh-CN"/>
        </w:rPr>
      </w:pPr>
      <w:r>
        <w:rPr>
          <w:rFonts w:hint="eastAsia" w:ascii="仿宋" w:hAnsi="仿宋" w:eastAsia="仿宋" w:cs="Aharoni"/>
          <w:sz w:val="24"/>
          <w:szCs w:val="24"/>
          <w:lang w:val="en-US" w:eastAsia="zh-CN"/>
        </w:rPr>
        <w:t>（二）聚焦民生实事。全力推进公立医院办养老、大学生村医配备、国家卫生县城复审、重点专科建设、托幼配套服务、基本公卫服务、公立医院办养老等各项重点工作。</w:t>
      </w:r>
    </w:p>
    <w:p>
      <w:pPr>
        <w:keepNext w:val="0"/>
        <w:keepLines w:val="0"/>
        <w:pageBreakBefore w:val="0"/>
        <w:widowControl/>
        <w:kinsoku/>
        <w:wordWrap/>
        <w:overflowPunct/>
        <w:topLinePunct w:val="0"/>
        <w:autoSpaceDE/>
        <w:autoSpaceDN/>
        <w:bidi w:val="0"/>
        <w:adjustRightInd/>
        <w:snapToGrid/>
        <w:spacing w:line="260" w:lineRule="exact"/>
        <w:textAlignment w:val="auto"/>
        <w:rPr>
          <w:rFonts w:hint="eastAsia" w:ascii="仿宋" w:hAnsi="仿宋" w:eastAsia="仿宋" w:cs="Aharoni"/>
          <w:sz w:val="24"/>
          <w:szCs w:val="24"/>
          <w:lang w:val="en-US" w:eastAsia="zh-CN"/>
        </w:rPr>
      </w:pPr>
      <w:r>
        <w:rPr>
          <w:rFonts w:hint="eastAsia" w:ascii="仿宋" w:hAnsi="仿宋" w:eastAsia="仿宋" w:cs="Aharoni"/>
          <w:sz w:val="24"/>
          <w:szCs w:val="24"/>
          <w:lang w:val="en-US" w:eastAsia="zh-CN"/>
        </w:rPr>
        <w:t>（三）聚焦优化医疗资源布局。按照县域“1+1+18”的城镇化布局，建立县镇村三级医疗体系，打造以县城为中心，潘家湾镇为副中心，涵盖18个一般镇、中心村，辐射覆盖全域服务体系。</w:t>
      </w:r>
    </w:p>
    <w:p>
      <w:pPr>
        <w:keepNext w:val="0"/>
        <w:keepLines w:val="0"/>
        <w:pageBreakBefore w:val="0"/>
        <w:widowControl/>
        <w:kinsoku/>
        <w:wordWrap/>
        <w:overflowPunct/>
        <w:topLinePunct w:val="0"/>
        <w:autoSpaceDE/>
        <w:autoSpaceDN/>
        <w:bidi w:val="0"/>
        <w:adjustRightInd/>
        <w:snapToGrid/>
        <w:spacing w:line="260" w:lineRule="exact"/>
        <w:textAlignment w:val="auto"/>
        <w:rPr>
          <w:rFonts w:hint="eastAsia" w:ascii="仿宋" w:hAnsi="仿宋" w:eastAsia="仿宋" w:cs="Aharoni"/>
          <w:sz w:val="24"/>
          <w:szCs w:val="24"/>
          <w:lang w:val="en-US" w:eastAsia="zh-CN"/>
        </w:rPr>
      </w:pPr>
      <w:r>
        <w:rPr>
          <w:rFonts w:hint="eastAsia" w:ascii="仿宋" w:hAnsi="仿宋" w:eastAsia="仿宋" w:cs="Aharoni"/>
          <w:sz w:val="24"/>
          <w:szCs w:val="24"/>
          <w:lang w:val="en-US" w:eastAsia="zh-CN"/>
        </w:rPr>
        <w:t>（四）聚焦安全稳定。狠抓安全生产和党风廉政建设，深入推进重大隐患专项整治和清廉医院建设工作。</w:t>
      </w:r>
    </w:p>
    <w:p>
      <w:pPr>
        <w:keepNext w:val="0"/>
        <w:keepLines w:val="0"/>
        <w:pageBreakBefore w:val="0"/>
        <w:widowControl/>
        <w:kinsoku/>
        <w:wordWrap/>
        <w:overflowPunct/>
        <w:topLinePunct w:val="0"/>
        <w:autoSpaceDE/>
        <w:autoSpaceDN/>
        <w:bidi w:val="0"/>
        <w:adjustRightInd/>
        <w:snapToGrid/>
        <w:spacing w:line="260" w:lineRule="exact"/>
        <w:textAlignment w:val="auto"/>
        <w:rPr>
          <w:rFonts w:hint="eastAsia" w:ascii="仿宋" w:hAnsi="仿宋" w:eastAsia="仿宋" w:cs="Aharoni"/>
          <w:sz w:val="24"/>
          <w:szCs w:val="24"/>
          <w:lang w:val="en-US" w:eastAsia="zh-CN"/>
        </w:rPr>
      </w:pPr>
    </w:p>
    <w:p>
      <w:pPr>
        <w:keepNext w:val="0"/>
        <w:keepLines w:val="0"/>
        <w:pageBreakBefore w:val="0"/>
        <w:widowControl/>
        <w:kinsoku/>
        <w:wordWrap/>
        <w:overflowPunct/>
        <w:topLinePunct w:val="0"/>
        <w:autoSpaceDE/>
        <w:autoSpaceDN/>
        <w:bidi w:val="0"/>
        <w:adjustRightInd/>
        <w:snapToGrid/>
        <w:spacing w:line="260" w:lineRule="exact"/>
        <w:textAlignment w:val="auto"/>
        <w:rPr>
          <w:rFonts w:hint="eastAsia" w:ascii="仿宋" w:hAnsi="仿宋" w:eastAsia="仿宋" w:cs="Aharoni"/>
          <w:sz w:val="24"/>
          <w:szCs w:val="24"/>
        </w:rPr>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Aharoni">
    <w:altName w:val="Yu Gothic UI Semibold"/>
    <w:panose1 w:val="02010803020104030203"/>
    <w:charset w:val="B1"/>
    <w:family w:val="auto"/>
    <w:pitch w:val="default"/>
    <w:sig w:usb0="00000000" w:usb1="00000000" w:usb2="00000000" w:usb3="00000000" w:csb0="00000020" w:csb1="00200000"/>
  </w:font>
  <w:font w:name="微软雅黑">
    <w:panose1 w:val="020B0503020204020204"/>
    <w:charset w:val="86"/>
    <w:family w:val="auto"/>
    <w:pitch w:val="default"/>
    <w:sig w:usb0="80000287" w:usb1="2ACF3C50" w:usb2="00000016" w:usb3="00000000" w:csb0="0004001F" w:csb1="00000000"/>
  </w:font>
  <w:font w:name="Yu Gothic UI Semibold">
    <w:panose1 w:val="020B0700000000000000"/>
    <w:charset w:val="80"/>
    <w:family w:val="auto"/>
    <w:pitch w:val="default"/>
    <w:sig w:usb0="E00002FF" w:usb1="2AC7FDFF" w:usb2="00000016" w:usb3="00000000" w:csb0="2002009F"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EA2F75"/>
    <w:multiLevelType w:val="multilevel"/>
    <w:tmpl w:val="01EA2F75"/>
    <w:lvl w:ilvl="0" w:tentative="0">
      <w:start w:val="1"/>
      <w:numFmt w:val="japaneseCounting"/>
      <w:lvlText w:val="%1、"/>
      <w:lvlJc w:val="left"/>
      <w:pPr>
        <w:ind w:left="1720" w:hanging="720"/>
      </w:pPr>
      <w:rPr>
        <w:rFonts w:hint="default"/>
      </w:rPr>
    </w:lvl>
    <w:lvl w:ilvl="1" w:tentative="0">
      <w:start w:val="1"/>
      <w:numFmt w:val="lowerLetter"/>
      <w:lvlText w:val="%2)"/>
      <w:lvlJc w:val="left"/>
      <w:pPr>
        <w:ind w:left="1840" w:hanging="420"/>
      </w:pPr>
    </w:lvl>
    <w:lvl w:ilvl="2" w:tentative="0">
      <w:start w:val="1"/>
      <w:numFmt w:val="lowerRoman"/>
      <w:lvlText w:val="%3."/>
      <w:lvlJc w:val="right"/>
      <w:pPr>
        <w:ind w:left="2260" w:hanging="420"/>
      </w:pPr>
    </w:lvl>
    <w:lvl w:ilvl="3" w:tentative="0">
      <w:start w:val="1"/>
      <w:numFmt w:val="decimal"/>
      <w:lvlText w:val="%4."/>
      <w:lvlJc w:val="left"/>
      <w:pPr>
        <w:ind w:left="2680" w:hanging="420"/>
      </w:pPr>
    </w:lvl>
    <w:lvl w:ilvl="4" w:tentative="0">
      <w:start w:val="1"/>
      <w:numFmt w:val="lowerLetter"/>
      <w:lvlText w:val="%5)"/>
      <w:lvlJc w:val="left"/>
      <w:pPr>
        <w:ind w:left="3100" w:hanging="420"/>
      </w:pPr>
    </w:lvl>
    <w:lvl w:ilvl="5" w:tentative="0">
      <w:start w:val="1"/>
      <w:numFmt w:val="lowerRoman"/>
      <w:lvlText w:val="%6."/>
      <w:lvlJc w:val="right"/>
      <w:pPr>
        <w:ind w:left="3520" w:hanging="420"/>
      </w:pPr>
    </w:lvl>
    <w:lvl w:ilvl="6" w:tentative="0">
      <w:start w:val="1"/>
      <w:numFmt w:val="decimal"/>
      <w:lvlText w:val="%7."/>
      <w:lvlJc w:val="left"/>
      <w:pPr>
        <w:ind w:left="3940" w:hanging="420"/>
      </w:pPr>
    </w:lvl>
    <w:lvl w:ilvl="7" w:tentative="0">
      <w:start w:val="1"/>
      <w:numFmt w:val="lowerLetter"/>
      <w:lvlText w:val="%8)"/>
      <w:lvlJc w:val="left"/>
      <w:pPr>
        <w:ind w:left="4360" w:hanging="420"/>
      </w:pPr>
    </w:lvl>
    <w:lvl w:ilvl="8" w:tentative="0">
      <w:start w:val="1"/>
      <w:numFmt w:val="lowerRoman"/>
      <w:lvlText w:val="%9."/>
      <w:lvlJc w:val="right"/>
      <w:pPr>
        <w:ind w:left="4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Dk1NjlkNTlkODQyMjE4MDAwNDZjZTAzZjI4MDE2MGIifQ=="/>
  </w:docVars>
  <w:rsids>
    <w:rsidRoot w:val="00D04347"/>
    <w:rsid w:val="00031CBC"/>
    <w:rsid w:val="00050D7E"/>
    <w:rsid w:val="00081EA6"/>
    <w:rsid w:val="000E6F8A"/>
    <w:rsid w:val="00106348"/>
    <w:rsid w:val="00107431"/>
    <w:rsid w:val="00107920"/>
    <w:rsid w:val="00123269"/>
    <w:rsid w:val="00147069"/>
    <w:rsid w:val="001C04F0"/>
    <w:rsid w:val="001F47C8"/>
    <w:rsid w:val="00206F6A"/>
    <w:rsid w:val="00281EFC"/>
    <w:rsid w:val="00303120"/>
    <w:rsid w:val="003425B1"/>
    <w:rsid w:val="003706A4"/>
    <w:rsid w:val="0037365A"/>
    <w:rsid w:val="00375EE1"/>
    <w:rsid w:val="003811E6"/>
    <w:rsid w:val="004B5E16"/>
    <w:rsid w:val="004F7203"/>
    <w:rsid w:val="005013F8"/>
    <w:rsid w:val="00530380"/>
    <w:rsid w:val="00660E84"/>
    <w:rsid w:val="00674438"/>
    <w:rsid w:val="006A10BD"/>
    <w:rsid w:val="006A2E15"/>
    <w:rsid w:val="006D739E"/>
    <w:rsid w:val="006E12B3"/>
    <w:rsid w:val="00713F37"/>
    <w:rsid w:val="00722254"/>
    <w:rsid w:val="00734778"/>
    <w:rsid w:val="0074311F"/>
    <w:rsid w:val="00747F85"/>
    <w:rsid w:val="00764B7C"/>
    <w:rsid w:val="007961EB"/>
    <w:rsid w:val="007B57B9"/>
    <w:rsid w:val="007C37F5"/>
    <w:rsid w:val="007F4210"/>
    <w:rsid w:val="00803785"/>
    <w:rsid w:val="008556B7"/>
    <w:rsid w:val="00865DE3"/>
    <w:rsid w:val="008B013F"/>
    <w:rsid w:val="008C1651"/>
    <w:rsid w:val="009357FF"/>
    <w:rsid w:val="00944180"/>
    <w:rsid w:val="00966F04"/>
    <w:rsid w:val="00A44259"/>
    <w:rsid w:val="00A45398"/>
    <w:rsid w:val="00AE55E7"/>
    <w:rsid w:val="00AE5940"/>
    <w:rsid w:val="00AF774D"/>
    <w:rsid w:val="00AF79A0"/>
    <w:rsid w:val="00BE02C6"/>
    <w:rsid w:val="00BE75F1"/>
    <w:rsid w:val="00C028AF"/>
    <w:rsid w:val="00C62018"/>
    <w:rsid w:val="00C62B78"/>
    <w:rsid w:val="00C65DB9"/>
    <w:rsid w:val="00CE4A57"/>
    <w:rsid w:val="00CF295B"/>
    <w:rsid w:val="00D04347"/>
    <w:rsid w:val="00D125CD"/>
    <w:rsid w:val="00D25088"/>
    <w:rsid w:val="00D72093"/>
    <w:rsid w:val="00D84E31"/>
    <w:rsid w:val="00DB626A"/>
    <w:rsid w:val="00DE08EC"/>
    <w:rsid w:val="00E14A8F"/>
    <w:rsid w:val="00E6072B"/>
    <w:rsid w:val="00E60D95"/>
    <w:rsid w:val="00EA278E"/>
    <w:rsid w:val="00F51E7C"/>
    <w:rsid w:val="00F7208C"/>
    <w:rsid w:val="00FD5A54"/>
    <w:rsid w:val="00FF60A2"/>
    <w:rsid w:val="09C441AA"/>
    <w:rsid w:val="0BB35BD2"/>
    <w:rsid w:val="0D35306C"/>
    <w:rsid w:val="0D850B9A"/>
    <w:rsid w:val="11B65A2D"/>
    <w:rsid w:val="14C47DDC"/>
    <w:rsid w:val="165B1AF3"/>
    <w:rsid w:val="19A54D4E"/>
    <w:rsid w:val="1AA3188E"/>
    <w:rsid w:val="1B9D26FC"/>
    <w:rsid w:val="1D555903"/>
    <w:rsid w:val="1F8A3753"/>
    <w:rsid w:val="211174AE"/>
    <w:rsid w:val="216930CF"/>
    <w:rsid w:val="24396315"/>
    <w:rsid w:val="273772AB"/>
    <w:rsid w:val="2DE94525"/>
    <w:rsid w:val="328571C7"/>
    <w:rsid w:val="3ECB4500"/>
    <w:rsid w:val="41452FE4"/>
    <w:rsid w:val="42DD7BD7"/>
    <w:rsid w:val="475F45D1"/>
    <w:rsid w:val="4AAB127D"/>
    <w:rsid w:val="4B337E76"/>
    <w:rsid w:val="4C70432C"/>
    <w:rsid w:val="5AFF0241"/>
    <w:rsid w:val="616B6357"/>
    <w:rsid w:val="66D55F78"/>
    <w:rsid w:val="6B357E54"/>
    <w:rsid w:val="6D391BCA"/>
    <w:rsid w:val="6D4B3DC0"/>
    <w:rsid w:val="6D4C5883"/>
    <w:rsid w:val="743E63DE"/>
    <w:rsid w:val="75682AC5"/>
    <w:rsid w:val="7A1E27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0"/>
    <w:basedOn w:val="1"/>
    <w:qFormat/>
    <w:uiPriority w:val="99"/>
    <w:pPr>
      <w:widowControl/>
      <w:snapToGrid w:val="0"/>
    </w:pPr>
    <w:rPr>
      <w:rFonts w:ascii="Times New Roman" w:hAnsi="Times New Roman" w:eastAsia="宋体" w:cs="Times New Roman"/>
      <w:kern w:val="0"/>
      <w:sz w:val="32"/>
      <w:szCs w:val="20"/>
    </w:rPr>
  </w:style>
  <w:style w:type="paragraph" w:customStyle="1" w:styleId="10">
    <w:name w:val="NormalIndent"/>
    <w:basedOn w:val="1"/>
    <w:autoRedefine/>
    <w:qFormat/>
    <w:uiPriority w:val="0"/>
    <w:pPr>
      <w:ind w:firstLine="200" w:firstLineChars="200"/>
      <w:textAlignment w:val="baseline"/>
    </w:pPr>
    <w:rPr>
      <w:rFonts w:ascii="Times New Roman" w:hAnsi="Times New Roman"/>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5</Pages>
  <Words>6523</Words>
  <Characters>6860</Characters>
  <Lines>55</Lines>
  <Paragraphs>15</Paragraphs>
  <TotalTime>0</TotalTime>
  <ScaleCrop>false</ScaleCrop>
  <LinksUpToDate>false</LinksUpToDate>
  <CharactersWithSpaces>6861</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2018-03-28T03:03:00Z</dcterms:created>
  <dc:creator>冯妍妍/预算绩效管理处（行资处）/湖北省财政厅</dc:creator>
  <cp:lastModifiedBy>Administrator</cp:lastModifiedBy>
  <cp:lastPrinted>2018-03-02T03:41:00Z</cp:lastPrinted>
  <dcterms:modified xsi:type="dcterms:W3CDTF">2024-04-11T02:00:25Z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F1EFDE04C2AC47E8A75278241B2E8831</vt:lpwstr>
  </property>
</Properties>
</file>