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spacing w:line="300" w:lineRule="exact"/>
        <w:jc w:val="center"/>
        <w:textAlignment w:val="auto"/>
        <w:rPr>
          <w:rFonts w:ascii="仿宋_GB2312" w:hAnsi="华文中宋"/>
          <w:bCs/>
          <w:sz w:val="36"/>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Arial" w:hAnsi="Arial" w:eastAsia="宋体" w:cs="Arial"/>
          <w:b/>
          <w:sz w:val="36"/>
          <w:szCs w:val="44"/>
          <w:lang w:eastAsia="zh-CN"/>
        </w:rPr>
      </w:pPr>
      <w:r>
        <w:rPr>
          <w:rFonts w:hint="eastAsia" w:ascii="Arial" w:hAnsi="Arial" w:eastAsia="宋体" w:cs="Arial"/>
          <w:b/>
          <w:sz w:val="36"/>
          <w:szCs w:val="44"/>
          <w:lang w:val="en-US" w:eastAsia="zh-CN"/>
        </w:rPr>
        <w:t>2023年度</w:t>
      </w:r>
      <w:r>
        <w:rPr>
          <w:rFonts w:hint="eastAsia" w:ascii="Arial" w:hAnsi="Arial" w:eastAsia="宋体" w:cs="Arial"/>
          <w:b/>
          <w:sz w:val="36"/>
          <w:szCs w:val="44"/>
          <w:lang w:eastAsia="zh-CN"/>
        </w:rPr>
        <w:t>嘉鱼县基本公共卫生服务资金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b/>
          <w:sz w:val="36"/>
          <w:szCs w:val="44"/>
        </w:rPr>
      </w:pPr>
      <w:r>
        <w:rPr>
          <w:rFonts w:hint="eastAsia" w:ascii="宋体" w:hAnsi="宋体" w:eastAsia="宋体" w:cs="宋体"/>
          <w:b/>
          <w:sz w:val="36"/>
          <w:szCs w:val="44"/>
        </w:rPr>
        <w:t>绩效自评报告</w:t>
      </w:r>
    </w:p>
    <w:p>
      <w:pPr>
        <w:keepNext w:val="0"/>
        <w:keepLines w:val="0"/>
        <w:pageBreakBefore w:val="0"/>
        <w:kinsoku/>
        <w:wordWrap/>
        <w:overflowPunct/>
        <w:topLinePunct w:val="0"/>
        <w:autoSpaceDN/>
        <w:bidi w:val="0"/>
        <w:spacing w:line="300" w:lineRule="exact"/>
        <w:jc w:val="center"/>
        <w:textAlignment w:val="auto"/>
        <w:rPr>
          <w:rFonts w:ascii="仿宋_GB2312"/>
          <w:szCs w:val="32"/>
        </w:rPr>
      </w:pP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val="en-US" w:eastAsia="zh-CN"/>
        </w:rPr>
        <w:t>2023</w:t>
      </w:r>
      <w:r>
        <w:rPr>
          <w:rFonts w:ascii="仿宋" w:hAnsi="仿宋" w:eastAsia="仿宋"/>
          <w:color w:val="000000"/>
          <w:sz w:val="30"/>
          <w:szCs w:val="30"/>
        </w:rPr>
        <w:t>年</w:t>
      </w:r>
      <w:r>
        <w:rPr>
          <w:rFonts w:hint="eastAsia" w:ascii="仿宋" w:hAnsi="仿宋" w:eastAsia="仿宋"/>
          <w:color w:val="000000"/>
          <w:sz w:val="30"/>
          <w:szCs w:val="30"/>
          <w:lang w:eastAsia="zh-CN"/>
        </w:rPr>
        <w:t>基本公共卫生</w:t>
      </w:r>
      <w:r>
        <w:rPr>
          <w:rFonts w:hint="eastAsia" w:ascii="仿宋" w:hAnsi="仿宋" w:eastAsia="仿宋"/>
          <w:color w:val="000000"/>
          <w:sz w:val="30"/>
          <w:szCs w:val="30"/>
        </w:rPr>
        <w:t>项目</w:t>
      </w:r>
      <w:r>
        <w:rPr>
          <w:rFonts w:ascii="仿宋" w:hAnsi="仿宋" w:eastAsia="仿宋"/>
          <w:color w:val="000000"/>
          <w:sz w:val="30"/>
          <w:szCs w:val="30"/>
        </w:rPr>
        <w:t>绩效成效，根据</w:t>
      </w:r>
      <w:r>
        <w:rPr>
          <w:rFonts w:hint="eastAsia" w:ascii="仿宋" w:hAnsi="仿宋" w:eastAsia="仿宋"/>
          <w:color w:val="000000"/>
          <w:sz w:val="30"/>
          <w:szCs w:val="30"/>
          <w:lang w:eastAsia="zh-CN"/>
        </w:rPr>
        <w:t>该</w:t>
      </w:r>
      <w:r>
        <w:rPr>
          <w:rFonts w:ascii="仿宋" w:hAnsi="仿宋" w:eastAsia="仿宋"/>
          <w:color w:val="000000"/>
          <w:sz w:val="30"/>
          <w:szCs w:val="30"/>
        </w:rPr>
        <w:t>项目绩效自评工作要求，嘉鱼县高度重视，迅速抽调县财政和县卫计局相关股室及</w:t>
      </w:r>
      <w:r>
        <w:rPr>
          <w:rFonts w:hint="eastAsia" w:ascii="仿宋" w:hAnsi="仿宋" w:eastAsia="仿宋"/>
          <w:color w:val="000000"/>
          <w:sz w:val="30"/>
          <w:szCs w:val="30"/>
          <w:lang w:eastAsia="zh-CN"/>
        </w:rPr>
        <w:t>各乡镇医院负责人</w:t>
      </w:r>
      <w:r>
        <w:rPr>
          <w:rFonts w:ascii="仿宋" w:hAnsi="仿宋" w:eastAsia="仿宋"/>
          <w:color w:val="000000"/>
          <w:sz w:val="30"/>
          <w:szCs w:val="30"/>
        </w:rPr>
        <w:t>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黑体" w:hAnsi="黑体" w:eastAsia="黑体"/>
          <w:sz w:val="30"/>
          <w:szCs w:val="30"/>
        </w:rPr>
      </w:pPr>
      <w:r>
        <w:rPr>
          <w:rFonts w:hint="eastAsia" w:ascii="黑体" w:hAnsi="黑体" w:eastAsia="黑体"/>
          <w:sz w:val="30"/>
          <w:szCs w:val="30"/>
          <w:lang w:eastAsia="zh-CN"/>
        </w:rPr>
        <w:t>一</w:t>
      </w:r>
      <w:r>
        <w:rPr>
          <w:rFonts w:hint="eastAsia" w:ascii="黑体" w:hAnsi="黑体" w:eastAsia="黑体"/>
          <w:sz w:val="30"/>
          <w:szCs w:val="30"/>
        </w:rPr>
        <w:t>、绩效目标分解下达情况</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w:t>
      </w:r>
      <w:r>
        <w:rPr>
          <w:rFonts w:hint="eastAsia" w:ascii="仿宋" w:hAnsi="仿宋" w:eastAsia="仿宋"/>
          <w:b/>
          <w:bCs/>
          <w:sz w:val="30"/>
          <w:szCs w:val="30"/>
          <w:lang w:eastAsia="zh-CN"/>
        </w:rPr>
        <w:t>中</w:t>
      </w:r>
      <w:r>
        <w:rPr>
          <w:rFonts w:hint="eastAsia" w:ascii="仿宋" w:hAnsi="仿宋" w:eastAsia="仿宋"/>
          <w:b/>
          <w:bCs/>
          <w:sz w:val="30"/>
          <w:szCs w:val="30"/>
        </w:rPr>
        <w:t>央下达</w:t>
      </w:r>
      <w:r>
        <w:rPr>
          <w:rFonts w:hint="eastAsia" w:ascii="仿宋" w:hAnsi="仿宋" w:eastAsia="仿宋"/>
          <w:b/>
          <w:bCs/>
          <w:sz w:val="30"/>
          <w:szCs w:val="30"/>
          <w:lang w:eastAsia="zh-CN"/>
        </w:rPr>
        <w:t>基本公共卫生项目</w:t>
      </w:r>
      <w:r>
        <w:rPr>
          <w:rFonts w:hint="eastAsia" w:ascii="仿宋" w:hAnsi="仿宋" w:eastAsia="仿宋"/>
          <w:b/>
          <w:bCs/>
          <w:sz w:val="30"/>
          <w:szCs w:val="30"/>
        </w:rPr>
        <w:t>预算</w:t>
      </w:r>
      <w:r>
        <w:rPr>
          <w:rFonts w:hint="eastAsia" w:ascii="仿宋" w:hAnsi="仿宋" w:eastAsia="仿宋"/>
          <w:b/>
          <w:bCs/>
          <w:sz w:val="30"/>
          <w:szCs w:val="30"/>
          <w:lang w:eastAsia="zh-CN"/>
        </w:rPr>
        <w:t>情况：</w:t>
      </w:r>
      <w:r>
        <w:rPr>
          <w:rFonts w:hint="eastAsia" w:ascii="仿宋" w:hAnsi="仿宋" w:eastAsia="仿宋"/>
          <w:sz w:val="30"/>
          <w:szCs w:val="30"/>
          <w:lang w:eastAsia="zh-CN"/>
        </w:rPr>
        <w:t>2023</w:t>
      </w:r>
      <w:r>
        <w:rPr>
          <w:rFonts w:hint="eastAsia" w:ascii="仿宋" w:hAnsi="仿宋" w:eastAsia="仿宋"/>
          <w:sz w:val="30"/>
          <w:szCs w:val="30"/>
        </w:rPr>
        <w:t>年中央下达</w:t>
      </w:r>
      <w:r>
        <w:rPr>
          <w:rFonts w:hint="eastAsia" w:ascii="仿宋" w:hAnsi="仿宋" w:eastAsia="仿宋"/>
          <w:sz w:val="30"/>
          <w:szCs w:val="30"/>
          <w:lang w:eastAsia="zh-CN"/>
        </w:rPr>
        <w:t>基本公共卫生项目</w:t>
      </w:r>
      <w:r>
        <w:rPr>
          <w:rFonts w:hint="eastAsia" w:ascii="仿宋" w:hAnsi="仿宋" w:eastAsia="仿宋"/>
          <w:sz w:val="30"/>
          <w:szCs w:val="30"/>
        </w:rPr>
        <w:t>支付预算</w:t>
      </w:r>
      <w:r>
        <w:rPr>
          <w:rFonts w:hint="eastAsia" w:ascii="仿宋" w:hAnsi="仿宋" w:eastAsia="仿宋"/>
          <w:sz w:val="30"/>
          <w:szCs w:val="30"/>
          <w:lang w:val="en-US" w:eastAsia="zh-CN"/>
        </w:rPr>
        <w:t>1562</w:t>
      </w:r>
      <w:r>
        <w:rPr>
          <w:rFonts w:hint="eastAsia" w:ascii="仿宋" w:hAnsi="仿宋" w:eastAsia="仿宋"/>
          <w:sz w:val="30"/>
          <w:szCs w:val="30"/>
        </w:rPr>
        <w:t>万元；</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b/>
          <w:bCs/>
          <w:sz w:val="30"/>
          <w:szCs w:val="30"/>
          <w:lang w:eastAsia="zh-CN"/>
        </w:rPr>
        <w:t>：</w:t>
      </w:r>
      <w:r>
        <w:rPr>
          <w:rFonts w:hint="eastAsia" w:ascii="仿宋" w:hAnsi="仿宋" w:eastAsia="仿宋"/>
          <w:sz w:val="30"/>
          <w:szCs w:val="30"/>
          <w:lang w:eastAsia="zh-CN"/>
        </w:rPr>
        <w:t>2023</w:t>
      </w:r>
      <w:r>
        <w:rPr>
          <w:rFonts w:hint="eastAsia" w:ascii="仿宋" w:hAnsi="仿宋" w:eastAsia="仿宋"/>
          <w:sz w:val="30"/>
          <w:szCs w:val="30"/>
        </w:rPr>
        <w:t>年</w:t>
      </w:r>
      <w:r>
        <w:rPr>
          <w:rFonts w:hint="eastAsia" w:ascii="仿宋" w:hAnsi="仿宋" w:eastAsia="仿宋"/>
          <w:sz w:val="30"/>
          <w:szCs w:val="30"/>
          <w:lang w:eastAsia="zh-CN"/>
        </w:rPr>
        <w:t>省级下达</w:t>
      </w:r>
      <w:r>
        <w:rPr>
          <w:rFonts w:hint="eastAsia" w:ascii="仿宋" w:hAnsi="仿宋" w:eastAsia="仿宋"/>
          <w:color w:val="000000"/>
          <w:sz w:val="30"/>
          <w:szCs w:val="30"/>
          <w:lang w:eastAsia="zh-CN"/>
        </w:rPr>
        <w:t>基本公共卫生</w:t>
      </w:r>
      <w:r>
        <w:rPr>
          <w:rFonts w:hint="eastAsia" w:ascii="仿宋" w:hAnsi="仿宋" w:eastAsia="仿宋"/>
          <w:color w:val="000000"/>
          <w:sz w:val="30"/>
          <w:szCs w:val="30"/>
        </w:rPr>
        <w:t>项目</w:t>
      </w:r>
      <w:r>
        <w:rPr>
          <w:rFonts w:hint="eastAsia" w:ascii="仿宋" w:hAnsi="仿宋" w:eastAsia="仿宋"/>
          <w:color w:val="000000"/>
          <w:sz w:val="30"/>
          <w:szCs w:val="30"/>
          <w:lang w:eastAsia="zh-CN"/>
        </w:rPr>
        <w:t>预算</w:t>
      </w:r>
      <w:r>
        <w:rPr>
          <w:rFonts w:hint="eastAsia" w:ascii="仿宋" w:hAnsi="仿宋" w:eastAsia="仿宋"/>
          <w:color w:val="000000"/>
          <w:sz w:val="30"/>
          <w:szCs w:val="30"/>
          <w:lang w:val="en-US" w:eastAsia="zh-CN"/>
        </w:rPr>
        <w:t>469万元，</w:t>
      </w:r>
      <w:r>
        <w:rPr>
          <w:rFonts w:hint="eastAsia" w:ascii="仿宋" w:hAnsi="仿宋" w:eastAsia="仿宋"/>
          <w:sz w:val="30"/>
          <w:szCs w:val="30"/>
          <w:lang w:eastAsia="zh-CN"/>
        </w:rPr>
        <w:t>县</w:t>
      </w:r>
      <w:r>
        <w:rPr>
          <w:rFonts w:hint="eastAsia" w:ascii="仿宋" w:hAnsi="仿宋" w:eastAsia="仿宋"/>
          <w:sz w:val="30"/>
          <w:szCs w:val="30"/>
        </w:rPr>
        <w:t>级下达配套</w:t>
      </w:r>
      <w:r>
        <w:rPr>
          <w:rFonts w:hint="eastAsia" w:ascii="仿宋" w:hAnsi="仿宋" w:eastAsia="仿宋"/>
          <w:sz w:val="30"/>
          <w:szCs w:val="30"/>
          <w:lang w:eastAsia="zh-CN"/>
        </w:rPr>
        <w:t>预算</w:t>
      </w:r>
      <w:r>
        <w:rPr>
          <w:rFonts w:hint="eastAsia" w:ascii="仿宋" w:hAnsi="仿宋" w:eastAsia="仿宋"/>
          <w:sz w:val="30"/>
          <w:szCs w:val="30"/>
        </w:rPr>
        <w:t>资金</w:t>
      </w:r>
      <w:r>
        <w:rPr>
          <w:rFonts w:hint="eastAsia" w:ascii="仿宋" w:hAnsi="仿宋" w:eastAsia="仿宋"/>
          <w:sz w:val="30"/>
          <w:szCs w:val="30"/>
          <w:lang w:val="en-US" w:eastAsia="zh-CN"/>
        </w:rPr>
        <w:t>537</w:t>
      </w:r>
      <w:r>
        <w:rPr>
          <w:rFonts w:hint="eastAsia" w:ascii="仿宋" w:hAnsi="仿宋" w:eastAsia="仿宋"/>
          <w:sz w:val="30"/>
          <w:szCs w:val="30"/>
        </w:rPr>
        <w:t>万元。</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b/>
          <w:bCs/>
          <w:sz w:val="30"/>
          <w:szCs w:val="30"/>
        </w:rPr>
      </w:pPr>
      <w:r>
        <w:rPr>
          <w:rFonts w:hint="eastAsia" w:ascii="仿宋" w:hAnsi="仿宋" w:eastAsia="仿宋"/>
          <w:b/>
          <w:bCs/>
          <w:sz w:val="30"/>
          <w:szCs w:val="30"/>
        </w:rPr>
        <w:t>绩效目标：</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eastAsia="zh-CN"/>
        </w:rPr>
        <w:t>目标1：推进档案电子化，全面核对，信息真实</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eastAsia="zh-CN"/>
        </w:rPr>
        <w:t>目标2：开展健康教育各类活动，居民健康素养知识知晓率大于85%，儿童建证率达95%，老年人健康管理率在于90%</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b/>
          <w:bCs/>
          <w:sz w:val="30"/>
          <w:szCs w:val="30"/>
        </w:rPr>
      </w:pPr>
      <w:r>
        <w:rPr>
          <w:rFonts w:hint="eastAsia" w:ascii="仿宋" w:hAnsi="仿宋" w:eastAsia="仿宋"/>
          <w:color w:val="000000"/>
          <w:sz w:val="30"/>
          <w:szCs w:val="30"/>
          <w:lang w:eastAsia="zh-CN"/>
        </w:rPr>
        <w:t>目标3：大力开展健康素养宣传推广，全面推进控烟履约</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黑体" w:hAnsi="黑体" w:eastAsia="黑体"/>
          <w:sz w:val="30"/>
          <w:szCs w:val="30"/>
          <w:lang w:eastAsia="zh-CN"/>
        </w:rPr>
      </w:pPr>
      <w:r>
        <w:rPr>
          <w:rFonts w:hint="eastAsia" w:ascii="黑体" w:hAnsi="黑体" w:eastAsia="黑体"/>
          <w:sz w:val="30"/>
          <w:szCs w:val="30"/>
          <w:lang w:eastAsia="zh-CN"/>
        </w:rPr>
        <w:t>二</w:t>
      </w:r>
      <w:r>
        <w:rPr>
          <w:rFonts w:hint="eastAsia" w:ascii="黑体" w:hAnsi="黑体" w:eastAsia="黑体"/>
          <w:sz w:val="30"/>
          <w:szCs w:val="30"/>
        </w:rPr>
        <w:t>、</w:t>
      </w:r>
      <w:r>
        <w:rPr>
          <w:rFonts w:hint="eastAsia" w:ascii="黑体" w:hAnsi="黑体" w:eastAsia="黑体"/>
          <w:sz w:val="30"/>
          <w:szCs w:val="30"/>
          <w:lang w:eastAsia="zh-CN"/>
        </w:rPr>
        <w:t>绩效目标完成情况分析</w:t>
      </w:r>
    </w:p>
    <w:p>
      <w:pPr>
        <w:keepNext w:val="0"/>
        <w:keepLines w:val="0"/>
        <w:pageBreakBefore w:val="0"/>
        <w:kinsoku/>
        <w:wordWrap/>
        <w:overflowPunct/>
        <w:topLinePunct w:val="0"/>
        <w:autoSpaceDN/>
        <w:bidi w:val="0"/>
        <w:adjustRightInd w:val="0"/>
        <w:snapToGrid w:val="0"/>
        <w:spacing w:line="300" w:lineRule="exact"/>
        <w:textAlignment w:val="auto"/>
        <w:outlineLvl w:val="0"/>
        <w:rPr>
          <w:rFonts w:hint="eastAsia" w:ascii="楷体_GB2312" w:hAnsi="楷体_GB2312"/>
          <w:b/>
          <w:bCs/>
          <w:sz w:val="28"/>
          <w:szCs w:val="28"/>
        </w:rPr>
      </w:pPr>
      <w:r>
        <w:rPr>
          <w:rFonts w:hint="eastAsia" w:ascii="黑体" w:hAnsi="黑体" w:eastAsia="黑体"/>
          <w:sz w:val="30"/>
          <w:szCs w:val="30"/>
        </w:rPr>
        <w:t xml:space="preserve">    </w:t>
      </w:r>
      <w:r>
        <w:rPr>
          <w:rFonts w:ascii="楷体_GB2312" w:hAnsi="楷体_GB2312"/>
          <w:b/>
          <w:bCs/>
          <w:sz w:val="28"/>
          <w:szCs w:val="28"/>
        </w:rPr>
        <w:t>（一）资金</w:t>
      </w:r>
      <w:r>
        <w:rPr>
          <w:rFonts w:hint="eastAsia" w:ascii="楷体_GB2312" w:hAnsi="楷体_GB2312"/>
          <w:b/>
          <w:bCs/>
          <w:sz w:val="28"/>
          <w:szCs w:val="28"/>
          <w:lang w:eastAsia="zh-CN"/>
        </w:rPr>
        <w:t>投入</w:t>
      </w:r>
      <w:r>
        <w:rPr>
          <w:rFonts w:ascii="楷体_GB2312" w:hAnsi="楷体_GB2312"/>
          <w:b/>
          <w:bCs/>
          <w:sz w:val="28"/>
          <w:szCs w:val="28"/>
        </w:rPr>
        <w:t>情况分析</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s="仿宋"/>
          <w:b/>
          <w:bCs/>
          <w:sz w:val="30"/>
          <w:szCs w:val="30"/>
        </w:rPr>
      </w:pPr>
      <w:r>
        <w:rPr>
          <w:rFonts w:hint="eastAsia" w:ascii="仿宋" w:hAnsi="仿宋" w:eastAsia="仿宋" w:cs="仿宋"/>
          <w:b/>
          <w:bCs/>
          <w:sz w:val="30"/>
          <w:szCs w:val="30"/>
        </w:rPr>
        <w:t>1、项目资金到位、执行、管理情况分析。</w:t>
      </w:r>
    </w:p>
    <w:p>
      <w:pPr>
        <w:keepNext w:val="0"/>
        <w:keepLines w:val="0"/>
        <w:pageBreakBefore w:val="0"/>
        <w:kinsoku/>
        <w:wordWrap/>
        <w:overflowPunct/>
        <w:topLinePunct w:val="0"/>
        <w:autoSpaceDN/>
        <w:bidi w:val="0"/>
        <w:adjustRightInd w:val="0"/>
        <w:snapToGrid w:val="0"/>
        <w:spacing w:line="300" w:lineRule="exact"/>
        <w:ind w:firstLine="600" w:firstLineChars="200"/>
        <w:textAlignment w:val="auto"/>
        <w:rPr>
          <w:rFonts w:ascii="宋体" w:hAnsi="宋体"/>
          <w:b/>
          <w:bCs/>
          <w:sz w:val="30"/>
          <w:szCs w:val="30"/>
        </w:rPr>
      </w:pPr>
      <w:r>
        <w:rPr>
          <w:rFonts w:hint="eastAsia" w:ascii="仿宋" w:hAnsi="仿宋" w:eastAsia="仿宋" w:cs="仿宋"/>
          <w:sz w:val="30"/>
          <w:szCs w:val="30"/>
        </w:rPr>
        <w:t>我县按照</w:t>
      </w:r>
      <w:r>
        <w:rPr>
          <w:rFonts w:hint="eastAsia" w:ascii="仿宋" w:hAnsi="仿宋" w:eastAsia="仿宋" w:cs="仿宋"/>
          <w:sz w:val="30"/>
          <w:szCs w:val="30"/>
          <w:lang w:eastAsia="zh-CN"/>
        </w:rPr>
        <w:t>基本公共卫生项目</w:t>
      </w:r>
      <w:r>
        <w:rPr>
          <w:rFonts w:hint="eastAsia" w:ascii="仿宋" w:hAnsi="仿宋" w:eastAsia="仿宋" w:cs="仿宋"/>
          <w:sz w:val="30"/>
          <w:szCs w:val="30"/>
        </w:rPr>
        <w:t>财政补助资金分配办法，依据各</w:t>
      </w:r>
      <w:r>
        <w:rPr>
          <w:rFonts w:hint="eastAsia" w:ascii="仿宋" w:hAnsi="仿宋" w:eastAsia="仿宋" w:cs="仿宋"/>
          <w:sz w:val="30"/>
          <w:szCs w:val="30"/>
          <w:lang w:eastAsia="zh-CN"/>
        </w:rPr>
        <w:t>乡镇卫生院</w:t>
      </w:r>
      <w:r>
        <w:rPr>
          <w:rFonts w:hint="eastAsia" w:ascii="仿宋" w:hAnsi="仿宋" w:eastAsia="仿宋" w:cs="仿宋"/>
          <w:sz w:val="30"/>
          <w:szCs w:val="30"/>
        </w:rPr>
        <w:t>目标任务完成情况，通过对各</w:t>
      </w:r>
      <w:r>
        <w:rPr>
          <w:rFonts w:hint="eastAsia" w:ascii="仿宋" w:hAnsi="仿宋" w:eastAsia="仿宋" w:cs="仿宋"/>
          <w:sz w:val="30"/>
          <w:szCs w:val="30"/>
          <w:lang w:eastAsia="zh-CN"/>
        </w:rPr>
        <w:t>乡镇卫生院</w:t>
      </w:r>
      <w:r>
        <w:rPr>
          <w:rFonts w:hint="eastAsia" w:ascii="仿宋" w:hAnsi="仿宋" w:eastAsia="仿宋" w:cs="仿宋"/>
          <w:sz w:val="30"/>
          <w:szCs w:val="30"/>
        </w:rPr>
        <w:t>考核拨付。做到了专款专用，足额拨付。</w:t>
      </w:r>
    </w:p>
    <w:p>
      <w:pPr>
        <w:keepNext w:val="0"/>
        <w:keepLines w:val="0"/>
        <w:pageBreakBefore w:val="0"/>
        <w:numPr>
          <w:ilvl w:val="0"/>
          <w:numId w:val="1"/>
        </w:numPr>
        <w:kinsoku/>
        <w:wordWrap/>
        <w:overflowPunct/>
        <w:topLinePunct w:val="0"/>
        <w:autoSpaceDN/>
        <w:bidi w:val="0"/>
        <w:adjustRightInd w:val="0"/>
        <w:snapToGrid w:val="0"/>
        <w:spacing w:line="300" w:lineRule="exact"/>
        <w:ind w:left="571" w:leftChars="0" w:firstLine="0" w:firstLineChars="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项目绩效指标完成情况分析</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实施国家基本公共卫生服务项目，是促进基本公共卫生服务逐步均等化的重要内容，是深化医药卫生体制改革近期重点服务工作。为城乡居民免费提供基本公共卫生服务，是我国政府坚持以人为本，落实预防为主卫生工作方针的具体体现，也是我国公共卫生领域的一项长期的基础性的制度安排。</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国家基本公共卫生服务项目自2009年7月启动以来，嘉鱼县卫计局成立公共卫生服务中心，各乡镇卫生院相应成立了“公共卫生服务中心”，项目补助经费由中央、省、县三级财政部门纳入基本财政预算。</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rPr>
      </w:pPr>
      <w:r>
        <w:rPr>
          <w:rFonts w:hint="eastAsia"/>
          <w:sz w:val="28"/>
          <w:szCs w:val="28"/>
        </w:rPr>
        <w:t>1.预算执行情况分析。</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eastAsia="zh-CN"/>
        </w:rPr>
        <w:t>2023</w:t>
      </w:r>
      <w:r>
        <w:rPr>
          <w:rFonts w:hint="eastAsia"/>
          <w:sz w:val="28"/>
          <w:szCs w:val="28"/>
          <w:highlight w:val="none"/>
        </w:rPr>
        <w:t>年度</w:t>
      </w:r>
      <w:r>
        <w:rPr>
          <w:rFonts w:hint="eastAsia"/>
          <w:sz w:val="28"/>
          <w:szCs w:val="28"/>
          <w:highlight w:val="none"/>
          <w:lang w:eastAsia="zh-CN"/>
        </w:rPr>
        <w:t>基本公共卫生服务</w:t>
      </w:r>
      <w:r>
        <w:rPr>
          <w:rFonts w:hint="eastAsia"/>
          <w:sz w:val="28"/>
          <w:szCs w:val="28"/>
          <w:highlight w:val="none"/>
        </w:rPr>
        <w:t>项目预算资金</w:t>
      </w:r>
      <w:r>
        <w:rPr>
          <w:rFonts w:hint="eastAsia"/>
          <w:sz w:val="28"/>
          <w:szCs w:val="28"/>
          <w:highlight w:val="none"/>
          <w:lang w:val="en-US" w:eastAsia="zh-CN"/>
        </w:rPr>
        <w:t>2568万</w:t>
      </w:r>
      <w:r>
        <w:rPr>
          <w:rFonts w:hint="eastAsia"/>
          <w:sz w:val="28"/>
          <w:szCs w:val="28"/>
          <w:highlight w:val="none"/>
        </w:rPr>
        <w:t>元，实际收到配套资金</w:t>
      </w:r>
      <w:r>
        <w:rPr>
          <w:rFonts w:hint="eastAsia"/>
          <w:sz w:val="28"/>
          <w:szCs w:val="28"/>
          <w:highlight w:val="none"/>
          <w:lang w:val="en-US" w:eastAsia="zh-CN"/>
        </w:rPr>
        <w:t>2568万元</w:t>
      </w:r>
      <w:r>
        <w:rPr>
          <w:rFonts w:hint="eastAsia"/>
          <w:sz w:val="28"/>
          <w:szCs w:val="28"/>
          <w:highlight w:val="none"/>
        </w:rPr>
        <w:t>，预算资金已及时拨付到位，到位率100%。</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eastAsia="zh-CN"/>
        </w:rPr>
        <w:t>2023</w:t>
      </w:r>
      <w:r>
        <w:rPr>
          <w:rFonts w:hint="eastAsia"/>
          <w:sz w:val="28"/>
          <w:szCs w:val="28"/>
          <w:highlight w:val="none"/>
        </w:rPr>
        <w:t>年累计拨付资金</w:t>
      </w:r>
      <w:r>
        <w:rPr>
          <w:rFonts w:hint="eastAsia"/>
          <w:sz w:val="28"/>
          <w:szCs w:val="28"/>
          <w:highlight w:val="none"/>
          <w:lang w:val="en-US" w:eastAsia="zh-CN"/>
        </w:rPr>
        <w:t>2568万元</w:t>
      </w:r>
      <w:r>
        <w:rPr>
          <w:rFonts w:hint="eastAsia"/>
          <w:sz w:val="28"/>
          <w:szCs w:val="28"/>
          <w:highlight w:val="none"/>
        </w:rPr>
        <w:t>元，预算执行率</w:t>
      </w:r>
      <w:r>
        <w:rPr>
          <w:rFonts w:hint="eastAsia"/>
          <w:sz w:val="28"/>
          <w:szCs w:val="28"/>
          <w:highlight w:val="none"/>
          <w:lang w:val="en-US" w:eastAsia="zh-CN"/>
        </w:rPr>
        <w:t>100</w:t>
      </w:r>
      <w:r>
        <w:rPr>
          <w:rFonts w:hint="eastAsia"/>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资金使用基本按照预算执行，符合国家财经法规和财务管理制度以及有关专项资金管理办法的规定。我局按照财务管理制度，严格执行专项资金管理，对项目资金使用按制度审批、按程序报销，严把审核关，同时，不断加强对项目经费管理使用的检查力度，应用于对口项目的支出，确保了专项工作的有序开展。我局项目预算资金支出合规，使用合理，相关台账资料齐全并及时归档，项目实施的人员条件、场地设备、信息支撑等落实到位。无虚列支出，无截留、挤占、挪用情况。</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sz w:val="28"/>
          <w:szCs w:val="28"/>
        </w:rPr>
      </w:pPr>
      <w:r>
        <w:rPr>
          <w:rFonts w:hint="eastAsia"/>
          <w:sz w:val="28"/>
          <w:szCs w:val="28"/>
        </w:rPr>
        <w:t>2.绩效目标完成情况分析。</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（1）产出指标完成情况分析。</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数量指标</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yellow"/>
          <w:lang w:val="en-US" w:eastAsia="zh-CN"/>
        </w:rPr>
      </w:pPr>
      <w:r>
        <w:rPr>
          <w:rFonts w:hint="eastAsia"/>
          <w:sz w:val="28"/>
          <w:szCs w:val="28"/>
          <w:highlight w:val="none"/>
          <w:lang w:val="en-US" w:eastAsia="zh-CN"/>
        </w:rPr>
        <w:t>2023年</w:t>
      </w:r>
      <w:r>
        <w:rPr>
          <w:rFonts w:hint="eastAsia"/>
          <w:sz w:val="28"/>
          <w:szCs w:val="28"/>
          <w:highlight w:val="none"/>
        </w:rPr>
        <w:t>居民电子健康档案建档率</w:t>
      </w:r>
      <w:r>
        <w:rPr>
          <w:rFonts w:hint="eastAsia"/>
          <w:sz w:val="28"/>
          <w:szCs w:val="28"/>
          <w:highlight w:val="none"/>
          <w:lang w:val="en-US" w:eastAsia="zh-CN"/>
        </w:rPr>
        <w:t>92%，大于80%，完成目标任务；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各镇适龄儿童预防接种建证（卡）率均达到了100%，大于90%，完成目标任务；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全县0-6岁儿童数为28661人，0-6岁儿童健康管理数为25797人，管理率为90.01%，大于85%，完成目标任务；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全县孕产妇3025人，早孕建册2851人，产后28天接受访视产妇人数2846，早孕建册率94.25%，产后访视率93.37%，均大于85%，完成目标任务；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老年人应管理33211人，已管理29834人，老年人健康管理率为89.83%，大于69%，完成目标任务；</w:t>
      </w:r>
    </w:p>
    <w:p>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全县高血压患者应管数23500人，实际管理28933人，完成目标任务；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全县糖尿病患者应管人数6000人，实际管理6635人，完成目标任务；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老年人中医药健康管理率65%，大于45%，完成目标任务；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儿童中医药健康管理率65%，大于45%，完成目标任务；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重点职业病地市开展率100%，大于92%，完成目标任务；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麻风病按规定随访到位率100%，大于90%，完成目标任务。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②</w:t>
      </w:r>
      <w:r>
        <w:rPr>
          <w:rFonts w:hint="eastAsia" w:eastAsia="宋体"/>
          <w:sz w:val="28"/>
          <w:szCs w:val="28"/>
          <w:highlight w:val="none"/>
          <w:lang w:val="en-US" w:eastAsia="zh-CN"/>
        </w:rPr>
        <w:t xml:space="preserve"> </w:t>
      </w:r>
      <w:r>
        <w:rPr>
          <w:rFonts w:hint="eastAsia"/>
          <w:sz w:val="28"/>
          <w:szCs w:val="28"/>
          <w:highlight w:val="none"/>
        </w:rPr>
        <w:t>质量指标</w:t>
      </w:r>
    </w:p>
    <w:p>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全县高血压患者实际管理28933人，规范管理25309人，规范管理率87.47%，大于60%，完成目标任务；</w:t>
      </w:r>
    </w:p>
    <w:p>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全县糖尿病患者实际管理6635人，规范管理5769人，规范管理率86.95%，大于60%，完成目标任务；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严重精神障碍患者管理情况:全县目前规范管理1466人，规范管理率为88.15%</w:t>
      </w:r>
      <w:r>
        <w:rPr>
          <w:rFonts w:hint="eastAsia"/>
          <w:sz w:val="28"/>
          <w:szCs w:val="28"/>
          <w:highlight w:val="none"/>
          <w:lang w:val="en-US" w:eastAsia="zh-CN"/>
        </w:rPr>
        <w:t>，大于</w:t>
      </w:r>
      <w:r>
        <w:rPr>
          <w:rFonts w:hint="eastAsia"/>
          <w:sz w:val="28"/>
          <w:szCs w:val="28"/>
          <w:highlight w:val="none"/>
        </w:rPr>
        <w:t>75%</w:t>
      </w:r>
      <w:r>
        <w:rPr>
          <w:rFonts w:hint="eastAsia"/>
          <w:sz w:val="28"/>
          <w:szCs w:val="28"/>
          <w:highlight w:val="none"/>
          <w:lang w:val="en-US" w:eastAsia="zh-CN"/>
        </w:rPr>
        <w:t>，完成目标任务；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rPr>
        <w:t>全年共登记报告肺结核患者229例，市级转入7例，共计236 例。其中不良反应停治3例，非结核性死亡5例，转入耐多药治疗1例。实际管理227例，管理率达96.2%</w:t>
      </w:r>
      <w:r>
        <w:rPr>
          <w:rFonts w:hint="eastAsia"/>
          <w:sz w:val="28"/>
          <w:szCs w:val="28"/>
          <w:highlight w:val="none"/>
          <w:lang w:val="en-US" w:eastAsia="zh-CN"/>
        </w:rPr>
        <w:t>，大于90%，完成目标任务；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rPr>
        <w:t>传染病和突发公共卫生事件报告率</w:t>
      </w:r>
      <w:r>
        <w:rPr>
          <w:rFonts w:hint="eastAsia"/>
          <w:sz w:val="28"/>
          <w:szCs w:val="28"/>
          <w:highlight w:val="none"/>
          <w:lang w:val="en-US" w:eastAsia="zh-CN"/>
        </w:rPr>
        <w:t>为100%，大于</w:t>
      </w:r>
      <w:r>
        <w:rPr>
          <w:rFonts w:hint="eastAsia"/>
          <w:sz w:val="28"/>
          <w:szCs w:val="28"/>
          <w:highlight w:val="none"/>
        </w:rPr>
        <w:t>95%</w:t>
      </w:r>
      <w:r>
        <w:rPr>
          <w:rFonts w:hint="eastAsia"/>
          <w:sz w:val="28"/>
          <w:szCs w:val="28"/>
          <w:highlight w:val="none"/>
          <w:lang w:val="en-US" w:eastAsia="zh-CN"/>
        </w:rPr>
        <w:t>，完成目标任务；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rPr>
        <w:t>职业健康核心指标主动监测率</w:t>
      </w:r>
      <w:r>
        <w:rPr>
          <w:rFonts w:hint="eastAsia"/>
          <w:sz w:val="28"/>
          <w:szCs w:val="28"/>
          <w:highlight w:val="none"/>
          <w:lang w:val="en-US" w:eastAsia="zh-CN"/>
        </w:rPr>
        <w:t>100%</w:t>
      </w:r>
      <w:r>
        <w:rPr>
          <w:rFonts w:hint="eastAsia"/>
          <w:sz w:val="28"/>
          <w:szCs w:val="28"/>
          <w:highlight w:val="none"/>
          <w:lang w:eastAsia="zh-CN"/>
        </w:rPr>
        <w:t>，</w:t>
      </w:r>
      <w:r>
        <w:rPr>
          <w:rFonts w:hint="eastAsia"/>
          <w:sz w:val="28"/>
          <w:szCs w:val="28"/>
          <w:highlight w:val="none"/>
          <w:lang w:val="en-US" w:eastAsia="zh-CN"/>
        </w:rPr>
        <w:t>大于</w:t>
      </w:r>
      <w:r>
        <w:rPr>
          <w:rFonts w:hint="eastAsia"/>
          <w:sz w:val="28"/>
          <w:szCs w:val="28"/>
          <w:highlight w:val="none"/>
        </w:rPr>
        <w:t>92%</w:t>
      </w:r>
      <w:r>
        <w:rPr>
          <w:rFonts w:hint="eastAsia"/>
          <w:sz w:val="28"/>
          <w:szCs w:val="28"/>
          <w:highlight w:val="none"/>
          <w:lang w:eastAsia="zh-CN"/>
        </w:rPr>
        <w:t>，</w:t>
      </w:r>
      <w:r>
        <w:rPr>
          <w:rFonts w:hint="eastAsia"/>
          <w:sz w:val="28"/>
          <w:szCs w:val="28"/>
          <w:highlight w:val="none"/>
          <w:lang w:val="en-US" w:eastAsia="zh-CN"/>
        </w:rPr>
        <w:t>完成目标任务；</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val="en-US" w:eastAsia="zh-CN"/>
        </w:rPr>
      </w:pPr>
      <w:r>
        <w:rPr>
          <w:rFonts w:hint="eastAsia"/>
          <w:sz w:val="28"/>
          <w:szCs w:val="28"/>
          <w:highlight w:val="none"/>
          <w:lang w:val="en-US" w:eastAsia="zh-CN"/>
        </w:rPr>
        <w:t>2023年未发生</w:t>
      </w:r>
      <w:r>
        <w:rPr>
          <w:rFonts w:hint="eastAsia"/>
          <w:sz w:val="28"/>
          <w:szCs w:val="28"/>
          <w:highlight w:val="none"/>
        </w:rPr>
        <w:t>鼠疫疫情</w:t>
      </w:r>
      <w:r>
        <w:rPr>
          <w:rFonts w:hint="eastAsia"/>
          <w:sz w:val="28"/>
          <w:szCs w:val="28"/>
          <w:highlight w:val="none"/>
          <w:lang w:eastAsia="zh-CN"/>
        </w:rPr>
        <w:t>，</w:t>
      </w:r>
      <w:r>
        <w:rPr>
          <w:rFonts w:hint="eastAsia"/>
          <w:sz w:val="28"/>
          <w:szCs w:val="28"/>
          <w:highlight w:val="none"/>
        </w:rPr>
        <w:t>及时有效规范处置</w:t>
      </w:r>
      <w:r>
        <w:rPr>
          <w:rFonts w:hint="eastAsia"/>
          <w:sz w:val="28"/>
          <w:szCs w:val="28"/>
          <w:highlight w:val="none"/>
          <w:lang w:val="en-US" w:eastAsia="zh-CN"/>
        </w:rPr>
        <w:t>率</w:t>
      </w:r>
      <w:r>
        <w:rPr>
          <w:rFonts w:hint="eastAsia"/>
          <w:sz w:val="28"/>
          <w:szCs w:val="28"/>
          <w:highlight w:val="none"/>
        </w:rPr>
        <w:t>100%</w:t>
      </w:r>
      <w:r>
        <w:rPr>
          <w:rFonts w:hint="eastAsia"/>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rPr>
        <w:t>各直报单位传染病直报系统运行正常</w:t>
      </w:r>
      <w:r>
        <w:rPr>
          <w:rFonts w:hint="eastAsia"/>
          <w:sz w:val="28"/>
          <w:szCs w:val="28"/>
          <w:highlight w:val="none"/>
          <w:lang w:eastAsia="zh-CN"/>
        </w:rPr>
        <w:t>，</w:t>
      </w:r>
      <w:r>
        <w:rPr>
          <w:rFonts w:hint="eastAsia"/>
          <w:sz w:val="28"/>
          <w:szCs w:val="28"/>
          <w:highlight w:val="none"/>
        </w:rPr>
        <w:t>大部分医疗机构使用了统一的门诊日志、化验室、出入院登记本，绝多数医生加强工作责任心</w:t>
      </w:r>
      <w:r>
        <w:rPr>
          <w:rFonts w:hint="eastAsia"/>
          <w:sz w:val="28"/>
          <w:szCs w:val="28"/>
          <w:highlight w:val="none"/>
          <w:lang w:eastAsia="zh-CN"/>
        </w:rPr>
        <w:t>，</w:t>
      </w:r>
      <w:r>
        <w:rPr>
          <w:rFonts w:hint="eastAsia"/>
          <w:sz w:val="28"/>
          <w:szCs w:val="28"/>
          <w:highlight w:val="none"/>
        </w:rPr>
        <w:t>医院传染病报告填写登记、传染病报告卡填写准确率、完整率有了很大的提高</w:t>
      </w:r>
      <w:r>
        <w:rPr>
          <w:rFonts w:hint="eastAsia"/>
          <w:sz w:val="28"/>
          <w:szCs w:val="28"/>
          <w:highlight w:val="none"/>
          <w:lang w:eastAsia="zh-CN"/>
        </w:rPr>
        <w:t>，</w:t>
      </w:r>
      <w:r>
        <w:rPr>
          <w:rFonts w:hint="eastAsia"/>
          <w:sz w:val="28"/>
          <w:szCs w:val="28"/>
          <w:highlight w:val="none"/>
        </w:rPr>
        <w:t>各基层医疗机构在使用门诊电脑病人信息录入工作，本次发现问题比上次各项录入项完整性、准确率有了很大的提高</w:t>
      </w:r>
      <w:r>
        <w:rPr>
          <w:rFonts w:hint="eastAsia"/>
          <w:sz w:val="28"/>
          <w:szCs w:val="28"/>
          <w:highlight w:val="none"/>
          <w:lang w:eastAsia="zh-CN"/>
        </w:rPr>
        <w:t>，</w:t>
      </w:r>
      <w:r>
        <w:rPr>
          <w:rFonts w:hint="eastAsia"/>
          <w:sz w:val="28"/>
          <w:szCs w:val="28"/>
          <w:highlight w:val="none"/>
        </w:rPr>
        <w:t>直报系统传染病报告率</w:t>
      </w:r>
      <w:r>
        <w:rPr>
          <w:rFonts w:hint="eastAsia"/>
          <w:sz w:val="28"/>
          <w:szCs w:val="28"/>
          <w:highlight w:val="none"/>
          <w:lang w:eastAsia="zh-CN"/>
        </w:rPr>
        <w:t>、</w:t>
      </w:r>
      <w:r>
        <w:rPr>
          <w:rFonts w:hint="eastAsia"/>
          <w:sz w:val="28"/>
          <w:szCs w:val="28"/>
          <w:highlight w:val="none"/>
        </w:rPr>
        <w:t>报告及时率均达到100%</w:t>
      </w:r>
      <w:r>
        <w:rPr>
          <w:rFonts w:hint="eastAsia"/>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val="en-US" w:eastAsia="zh-CN"/>
        </w:rPr>
      </w:pPr>
      <w:r>
        <w:rPr>
          <w:rFonts w:hint="eastAsia"/>
          <w:sz w:val="28"/>
          <w:szCs w:val="28"/>
          <w:highlight w:val="none"/>
        </w:rPr>
        <w:t>全年开展县级培训6次，镇级培训54次，总计培训2922人次</w:t>
      </w:r>
      <w:r>
        <w:rPr>
          <w:rFonts w:hint="eastAsia"/>
          <w:sz w:val="28"/>
          <w:szCs w:val="28"/>
          <w:highlight w:val="none"/>
          <w:lang w:eastAsia="zh-CN"/>
        </w:rPr>
        <w:t>，</w:t>
      </w:r>
      <w:r>
        <w:rPr>
          <w:rFonts w:hint="eastAsia"/>
          <w:sz w:val="28"/>
          <w:szCs w:val="28"/>
          <w:highlight w:val="none"/>
        </w:rPr>
        <w:t>对村卫生室进行督导1080次</w:t>
      </w:r>
      <w:r>
        <w:rPr>
          <w:rFonts w:hint="eastAsia"/>
          <w:sz w:val="28"/>
          <w:szCs w:val="28"/>
          <w:highlight w:val="none"/>
          <w:lang w:eastAsia="zh-CN"/>
        </w:rPr>
        <w:t>，</w:t>
      </w:r>
      <w:r>
        <w:rPr>
          <w:rFonts w:hint="eastAsia"/>
          <w:sz w:val="28"/>
          <w:szCs w:val="28"/>
          <w:highlight w:val="none"/>
        </w:rPr>
        <w:t>各单位均开展了3-4次的村级考核</w:t>
      </w:r>
      <w:r>
        <w:rPr>
          <w:rFonts w:hint="eastAsia"/>
          <w:sz w:val="28"/>
          <w:szCs w:val="28"/>
          <w:highlight w:val="none"/>
          <w:lang w:eastAsia="zh-CN"/>
        </w:rPr>
        <w:t>，</w:t>
      </w:r>
      <w:r>
        <w:rPr>
          <w:rFonts w:hint="eastAsia"/>
          <w:sz w:val="28"/>
          <w:szCs w:val="28"/>
          <w:highlight w:val="none"/>
        </w:rPr>
        <w:t>乡镇覆盖100%</w:t>
      </w:r>
      <w:r>
        <w:rPr>
          <w:rFonts w:hint="eastAsia"/>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yellow"/>
          <w:lang w:eastAsia="zh-CN"/>
        </w:rPr>
      </w:pPr>
      <w:r>
        <w:rPr>
          <w:rFonts w:hint="eastAsia"/>
          <w:sz w:val="28"/>
          <w:szCs w:val="28"/>
          <w:highlight w:val="none"/>
        </w:rPr>
        <w:t>麻风病可疑线索报告率</w:t>
      </w:r>
      <w:r>
        <w:rPr>
          <w:rFonts w:hint="eastAsia"/>
          <w:sz w:val="28"/>
          <w:szCs w:val="28"/>
          <w:highlight w:val="none"/>
          <w:lang w:val="en-US" w:eastAsia="zh-CN"/>
        </w:rPr>
        <w:t>100%</w:t>
      </w:r>
      <w:r>
        <w:rPr>
          <w:rFonts w:hint="eastAsia"/>
          <w:sz w:val="28"/>
          <w:szCs w:val="28"/>
          <w:highlight w:val="none"/>
          <w:lang w:eastAsia="zh-CN"/>
        </w:rPr>
        <w:t>，</w:t>
      </w:r>
      <w:r>
        <w:rPr>
          <w:rFonts w:hint="eastAsia"/>
          <w:sz w:val="28"/>
          <w:szCs w:val="28"/>
          <w:highlight w:val="none"/>
          <w:lang w:val="en-US" w:eastAsia="zh-CN"/>
        </w:rPr>
        <w:t>大于</w:t>
      </w:r>
      <w:r>
        <w:rPr>
          <w:rFonts w:hint="eastAsia"/>
          <w:sz w:val="28"/>
          <w:szCs w:val="28"/>
          <w:highlight w:val="none"/>
        </w:rPr>
        <w:t>90%</w:t>
      </w:r>
      <w:r>
        <w:rPr>
          <w:rFonts w:hint="eastAsia"/>
          <w:sz w:val="28"/>
          <w:szCs w:val="28"/>
          <w:highlight w:val="none"/>
          <w:lang w:eastAsia="zh-CN"/>
        </w:rPr>
        <w:t>，</w:t>
      </w:r>
      <w:r>
        <w:rPr>
          <w:rFonts w:hint="eastAsia"/>
          <w:sz w:val="28"/>
          <w:szCs w:val="28"/>
          <w:highlight w:val="none"/>
          <w:lang w:val="en-US" w:eastAsia="zh-CN"/>
        </w:rPr>
        <w:t>完成目标任务。</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可持续</w:t>
      </w:r>
      <w:r>
        <w:rPr>
          <w:rFonts w:hint="eastAsia"/>
          <w:sz w:val="28"/>
          <w:szCs w:val="28"/>
          <w:highlight w:val="none"/>
          <w:lang w:val="en-US" w:eastAsia="zh-CN"/>
        </w:rPr>
        <w:t>影响</w:t>
      </w:r>
      <w:r>
        <w:rPr>
          <w:rFonts w:hint="eastAsia"/>
          <w:sz w:val="28"/>
          <w:szCs w:val="28"/>
          <w:highlight w:val="none"/>
        </w:rPr>
        <w:t>指标</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基本公共卫生服务项目的实施，促进了基本公共卫生服务逐步均等化，深化医药卫生体制改革、为城乡居民免费提供基本公共卫生服务，促进了2023年</w:t>
      </w:r>
      <w:r>
        <w:rPr>
          <w:rFonts w:hint="eastAsia"/>
          <w:sz w:val="28"/>
          <w:szCs w:val="28"/>
          <w:highlight w:val="none"/>
        </w:rPr>
        <w:t>基本公共卫生服务水平</w:t>
      </w:r>
      <w:r>
        <w:rPr>
          <w:rFonts w:hint="eastAsia"/>
          <w:sz w:val="28"/>
          <w:szCs w:val="28"/>
          <w:highlight w:val="none"/>
          <w:lang w:val="en-US" w:eastAsia="zh-CN"/>
        </w:rPr>
        <w:t>的</w:t>
      </w:r>
      <w:r>
        <w:rPr>
          <w:rFonts w:hint="eastAsia"/>
          <w:sz w:val="28"/>
          <w:szCs w:val="28"/>
          <w:highlight w:val="none"/>
        </w:rPr>
        <w:t>不断提高。</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560" w:firstLineChars="200"/>
        <w:jc w:val="both"/>
        <w:textAlignment w:val="auto"/>
        <w:rPr>
          <w:rFonts w:hint="eastAsia"/>
          <w:sz w:val="28"/>
          <w:szCs w:val="28"/>
          <w:highlight w:val="none"/>
        </w:rPr>
      </w:pPr>
      <w:r>
        <w:rPr>
          <w:rFonts w:hint="eastAsia"/>
          <w:sz w:val="28"/>
          <w:szCs w:val="28"/>
          <w:highlight w:val="none"/>
        </w:rPr>
        <w:t>满意度指标完成情况分析。</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default"/>
          <w:sz w:val="28"/>
          <w:szCs w:val="28"/>
          <w:highlight w:val="none"/>
          <w:lang w:val="en-US" w:eastAsia="zh-CN"/>
        </w:rPr>
      </w:pPr>
      <w:r>
        <w:rPr>
          <w:rFonts w:hint="eastAsia"/>
          <w:sz w:val="28"/>
          <w:szCs w:val="28"/>
          <w:highlight w:val="none"/>
          <w:lang w:val="en-US" w:eastAsia="zh-CN"/>
        </w:rPr>
        <w:t>通过对城乡居民满意度的</w:t>
      </w:r>
      <w:r>
        <w:rPr>
          <w:rFonts w:hint="eastAsia"/>
          <w:sz w:val="28"/>
          <w:szCs w:val="28"/>
          <w:highlight w:val="none"/>
          <w:lang w:eastAsia="zh-CN"/>
        </w:rPr>
        <w:t>实地调查、询问，2023年度基本公共卫生服务项目服务对象综合知晓率85%，服务对象满意度85</w:t>
      </w:r>
      <w:r>
        <w:rPr>
          <w:rFonts w:hint="eastAsia"/>
          <w:sz w:val="28"/>
          <w:szCs w:val="28"/>
          <w:highlight w:val="none"/>
          <w:lang w:val="en-US" w:eastAsia="zh-CN"/>
        </w:rPr>
        <w:t>%。</w:t>
      </w:r>
    </w:p>
    <w:p>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黑体"/>
          <w:b/>
          <w:bCs/>
          <w:sz w:val="30"/>
          <w:szCs w:val="30"/>
          <w:lang w:eastAsia="zh-CN"/>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下一步工作措施</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一是进一步加大公共卫生服务宣传力度，提高公卫服务知晓率。动员社会参与进一步加大基本公共卫生服务项目工作的宣传力度，从不同层面多形式持续开展基本公共卫生服务工作宣传活动，对辖区居民重点进行服务内容、服务方式和免费政策等宣传，提高人民群众对公共卫生服务的知晓率。</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二是严格按照相关规定，合理使用资金，确保专项资金的严肃性、规范性和完整性，加强资金监管，规范执行管理，进一步完善相关财务制度。</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三是建议常态化推进重点项目实施。慢性病管理、孕产妇和儿童健康管理、健康教育等重点工作必须制定工作方案进行专项安排，有序推进，确保年度目标任务完成。</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 xml:space="preserve">四是一方面加强新人才的培养、一方面对现有乡镇医务团队加强培训学习，尽快完善乡镇卫生院的档案建立工作，使乡村医生及时掌握服务对象的健康状况。 </w:t>
      </w:r>
    </w:p>
    <w:p>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olor w:val="000000"/>
          <w:sz w:val="30"/>
          <w:szCs w:val="30"/>
          <w:lang w:val="en-US" w:eastAsia="zh-CN"/>
        </w:rPr>
        <w:t>五是加强对乡镇卫生院及乡村医生的教育和培训，提高卫生质量、服务质量和服务水平，规范着装；做好环境卫生综合整治工作，营造干净、整洁、优美文明的就医环境，提高环境卫生管理水平，更好的体现社会主义新农村的新变化、新面貌。</w:t>
      </w:r>
    </w:p>
    <w:p>
      <w:pPr>
        <w:keepNext w:val="0"/>
        <w:keepLines w:val="0"/>
        <w:pageBreakBefore w:val="0"/>
        <w:widowControl/>
        <w:numPr>
          <w:ilvl w:val="0"/>
          <w:numId w:val="3"/>
        </w:numPr>
        <w:kinsoku/>
        <w:wordWrap/>
        <w:overflowPunct/>
        <w:topLinePunct w:val="0"/>
        <w:autoSpaceDE w:val="0"/>
        <w:autoSpaceDN/>
        <w:bidi w:val="0"/>
        <w:spacing w:line="300" w:lineRule="exact"/>
        <w:ind w:left="0" w:leftChars="0" w:right="0" w:rightChars="0" w:firstLine="600" w:firstLineChars="200"/>
        <w:jc w:val="both"/>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绩效自评结果拟应用和公开情况</w:t>
      </w:r>
    </w:p>
    <w:p>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绩效自评结果将在县财政、县卫健局网站公开。</w:t>
      </w:r>
    </w:p>
    <w:p>
      <w:pPr>
        <w:keepNext w:val="0"/>
        <w:keepLines w:val="0"/>
        <w:pageBreakBefore w:val="0"/>
        <w:widowControl/>
        <w:numPr>
          <w:ilvl w:val="0"/>
          <w:numId w:val="0"/>
        </w:numPr>
        <w:kinsoku/>
        <w:wordWrap/>
        <w:overflowPunct/>
        <w:topLinePunct w:val="0"/>
        <w:autoSpaceDE w:val="0"/>
        <w:autoSpaceDN/>
        <w:bidi w:val="0"/>
        <w:spacing w:line="300" w:lineRule="exact"/>
        <w:ind w:leftChars="200" w:right="0" w:rightChars="0"/>
        <w:jc w:val="both"/>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五、上年度部门自评结果应用情况</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lang w:val="en-US" w:eastAsia="zh-CN"/>
        </w:rPr>
      </w:pPr>
      <w:r>
        <w:rPr>
          <w:rFonts w:hint="eastAsia"/>
          <w:sz w:val="28"/>
          <w:szCs w:val="28"/>
        </w:rPr>
        <w:t>严格按照项目绩效考核评分标准及细则等相关事宜操作，按照项目绩效考核评分表标准</w:t>
      </w:r>
      <w:r>
        <w:rPr>
          <w:rFonts w:hint="eastAsia"/>
          <w:sz w:val="28"/>
          <w:szCs w:val="28"/>
          <w:lang w:val="en-US" w:eastAsia="zh-CN"/>
        </w:rPr>
        <w:t>进行考核事宜</w:t>
      </w:r>
      <w:r>
        <w:rPr>
          <w:rFonts w:hint="eastAsia"/>
          <w:sz w:val="28"/>
          <w:szCs w:val="28"/>
        </w:rPr>
        <w:t>，绩效考核指标包括：工作开展情况、项目资金管理情况、项目完成情况等</w:t>
      </w:r>
      <w:r>
        <w:rPr>
          <w:rFonts w:hint="eastAsia"/>
          <w:sz w:val="28"/>
          <w:szCs w:val="28"/>
          <w:lang w:eastAsia="zh-CN"/>
        </w:rPr>
        <w:t>。</w:t>
      </w:r>
      <w:r>
        <w:rPr>
          <w:rFonts w:hint="eastAsia"/>
          <w:sz w:val="28"/>
          <w:szCs w:val="28"/>
          <w:lang w:val="en-US" w:eastAsia="zh-CN"/>
        </w:rPr>
        <w:t>对项目按年实施一次人员考核，并纳入日常考核管理当中。</w:t>
      </w:r>
    </w:p>
    <w:p>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rPr>
      </w:pPr>
      <w:r>
        <w:rPr>
          <w:rFonts w:hint="eastAsia" w:ascii="仿宋" w:hAnsi="仿宋" w:eastAsia="仿宋"/>
          <w:sz w:val="30"/>
          <w:szCs w:val="30"/>
        </w:rPr>
        <w:t xml:space="preserve">  </w:t>
      </w:r>
    </w:p>
    <w:p>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rPr>
      </w:pPr>
    </w:p>
    <w:p>
      <w:pPr>
        <w:keepNext w:val="0"/>
        <w:keepLines w:val="0"/>
        <w:pageBreakBefore w:val="0"/>
        <w:widowControl/>
        <w:kinsoku/>
        <w:wordWrap/>
        <w:overflowPunct/>
        <w:topLinePunct w:val="0"/>
        <w:autoSpaceDN/>
        <w:bidi w:val="0"/>
        <w:adjustRightInd w:val="0"/>
        <w:snapToGrid w:val="0"/>
        <w:spacing w:line="300" w:lineRule="exact"/>
        <w:ind w:firstLine="5700" w:firstLineChars="1900"/>
        <w:jc w:val="right"/>
        <w:textAlignment w:val="auto"/>
        <w:rPr>
          <w:rFonts w:hint="eastAsia" w:ascii="仿宋" w:hAnsi="仿宋" w:eastAsia="仿宋"/>
          <w:sz w:val="30"/>
          <w:szCs w:val="30"/>
        </w:rPr>
      </w:pPr>
      <w:r>
        <w:rPr>
          <w:rFonts w:hint="eastAsia" w:ascii="仿宋" w:hAnsi="仿宋" w:eastAsia="仿宋"/>
          <w:sz w:val="30"/>
          <w:szCs w:val="30"/>
        </w:rPr>
        <w:t>嘉鱼县卫生</w:t>
      </w:r>
      <w:r>
        <w:rPr>
          <w:rFonts w:hint="eastAsia" w:ascii="仿宋" w:hAnsi="仿宋" w:eastAsia="仿宋"/>
          <w:sz w:val="30"/>
          <w:szCs w:val="30"/>
          <w:lang w:eastAsia="zh-CN"/>
        </w:rPr>
        <w:t>健康</w:t>
      </w:r>
      <w:r>
        <w:rPr>
          <w:rFonts w:hint="eastAsia" w:ascii="仿宋" w:hAnsi="仿宋" w:eastAsia="仿宋"/>
          <w:sz w:val="30"/>
          <w:szCs w:val="30"/>
        </w:rPr>
        <w:t>局</w:t>
      </w:r>
    </w:p>
    <w:p>
      <w:pPr>
        <w:keepNext w:val="0"/>
        <w:keepLines w:val="0"/>
        <w:pageBreakBefore w:val="0"/>
        <w:kinsoku/>
        <w:wordWrap/>
        <w:overflowPunct/>
        <w:topLinePunct w:val="0"/>
        <w:autoSpaceDN/>
        <w:bidi w:val="0"/>
        <w:adjustRightInd w:val="0"/>
        <w:snapToGrid w:val="0"/>
        <w:spacing w:line="300" w:lineRule="exact"/>
        <w:ind w:firstLine="5700" w:firstLineChars="1900"/>
        <w:jc w:val="right"/>
        <w:textAlignment w:val="auto"/>
        <w:rPr>
          <w:rFonts w:hint="eastAsia"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24</w:t>
      </w:r>
      <w:r>
        <w:rPr>
          <w:rFonts w:hint="eastAsia" w:ascii="仿宋" w:hAnsi="仿宋" w:eastAsia="仿宋"/>
          <w:sz w:val="30"/>
          <w:szCs w:val="30"/>
        </w:rPr>
        <w:t>年</w:t>
      </w:r>
      <w:r>
        <w:rPr>
          <w:rFonts w:hint="eastAsia" w:ascii="仿宋" w:hAnsi="仿宋" w:eastAsia="仿宋"/>
          <w:sz w:val="30"/>
          <w:szCs w:val="30"/>
          <w:lang w:val="en-US" w:eastAsia="zh-CN"/>
        </w:rPr>
        <w:t>4</w:t>
      </w:r>
      <w:r>
        <w:rPr>
          <w:rFonts w:hint="eastAsia" w:ascii="仿宋" w:hAnsi="仿宋" w:eastAsia="仿宋"/>
          <w:sz w:val="30"/>
          <w:szCs w:val="30"/>
        </w:rPr>
        <w:t>月</w:t>
      </w:r>
      <w:r>
        <w:rPr>
          <w:rFonts w:hint="eastAsia" w:ascii="仿宋" w:hAnsi="仿宋" w:eastAsia="仿宋"/>
          <w:sz w:val="30"/>
          <w:szCs w:val="30"/>
          <w:lang w:val="en-US" w:eastAsia="zh-CN"/>
        </w:rPr>
        <w:t>20</w:t>
      </w:r>
      <w:r>
        <w:rPr>
          <w:rFonts w:hint="eastAsia" w:ascii="仿宋" w:hAnsi="仿宋" w:eastAsia="仿宋"/>
          <w:sz w:val="30"/>
          <w:szCs w:val="30"/>
        </w:rPr>
        <w:t xml:space="preserve">日 </w:t>
      </w:r>
    </w:p>
    <w:p>
      <w:pPr>
        <w:keepNext w:val="0"/>
        <w:keepLines w:val="0"/>
        <w:pageBreakBefore w:val="0"/>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sz w:val="30"/>
          <w:szCs w:val="30"/>
        </w:rPr>
      </w:pPr>
    </w:p>
    <w:p>
      <w:pPr>
        <w:keepNext w:val="0"/>
        <w:keepLines w:val="0"/>
        <w:pageBreakBefore w:val="0"/>
        <w:kinsoku/>
        <w:wordWrap/>
        <w:overflowPunct/>
        <w:topLinePunct w:val="0"/>
        <w:autoSpaceDN/>
        <w:bidi w:val="0"/>
        <w:spacing w:line="300" w:lineRule="exact"/>
        <w:ind w:firstLine="600" w:firstLineChars="200"/>
        <w:textAlignment w:val="auto"/>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A5850"/>
    <w:multiLevelType w:val="singleLevel"/>
    <w:tmpl w:val="A4FA5850"/>
    <w:lvl w:ilvl="0" w:tentative="0">
      <w:start w:val="2"/>
      <w:numFmt w:val="decimal"/>
      <w:suff w:val="nothing"/>
      <w:lvlText w:val="（%1）"/>
      <w:lvlJc w:val="left"/>
    </w:lvl>
  </w:abstractNum>
  <w:abstractNum w:abstractNumId="1">
    <w:nsid w:val="4429E01C"/>
    <w:multiLevelType w:val="singleLevel"/>
    <w:tmpl w:val="4429E01C"/>
    <w:lvl w:ilvl="0" w:tentative="0">
      <w:start w:val="2"/>
      <w:numFmt w:val="chineseCounting"/>
      <w:suff w:val="nothing"/>
      <w:lvlText w:val="（%1）"/>
      <w:lvlJc w:val="left"/>
      <w:pPr>
        <w:ind w:left="571" w:firstLine="0"/>
      </w:pPr>
      <w:rPr>
        <w:rFonts w:hint="eastAsia"/>
      </w:rPr>
    </w:lvl>
  </w:abstractNum>
  <w:abstractNum w:abstractNumId="2">
    <w:nsid w:val="695A62F8"/>
    <w:multiLevelType w:val="singleLevel"/>
    <w:tmpl w:val="695A62F8"/>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NjlkNTlkODQyMjE4MDAwNDZjZTAzZjI4MDE2MGI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0FA64CD"/>
    <w:rsid w:val="01215DA0"/>
    <w:rsid w:val="01E74ACC"/>
    <w:rsid w:val="037D0BC8"/>
    <w:rsid w:val="0845082D"/>
    <w:rsid w:val="09E965F2"/>
    <w:rsid w:val="0DBF6A34"/>
    <w:rsid w:val="139840D3"/>
    <w:rsid w:val="143E091F"/>
    <w:rsid w:val="14865FC8"/>
    <w:rsid w:val="150C2DB0"/>
    <w:rsid w:val="1E761F05"/>
    <w:rsid w:val="1F4C52E9"/>
    <w:rsid w:val="1F7BE1E6"/>
    <w:rsid w:val="1FC7205C"/>
    <w:rsid w:val="228B3D05"/>
    <w:rsid w:val="284E74F8"/>
    <w:rsid w:val="2ADB48E8"/>
    <w:rsid w:val="36687282"/>
    <w:rsid w:val="367793B2"/>
    <w:rsid w:val="3794FC37"/>
    <w:rsid w:val="38EF7AD8"/>
    <w:rsid w:val="3DEC043D"/>
    <w:rsid w:val="3E1672E6"/>
    <w:rsid w:val="3EB9C2BB"/>
    <w:rsid w:val="415F08D8"/>
    <w:rsid w:val="44E2230F"/>
    <w:rsid w:val="48B51347"/>
    <w:rsid w:val="491B45FA"/>
    <w:rsid w:val="4A55216A"/>
    <w:rsid w:val="4FE0696A"/>
    <w:rsid w:val="546F8569"/>
    <w:rsid w:val="55673508"/>
    <w:rsid w:val="59595A6F"/>
    <w:rsid w:val="599330CA"/>
    <w:rsid w:val="5A7FCB1F"/>
    <w:rsid w:val="5FEAF7C9"/>
    <w:rsid w:val="60D5009F"/>
    <w:rsid w:val="64AC2E11"/>
    <w:rsid w:val="660721C9"/>
    <w:rsid w:val="661E6C75"/>
    <w:rsid w:val="66CE5FF9"/>
    <w:rsid w:val="67DF0F40"/>
    <w:rsid w:val="67F75FF5"/>
    <w:rsid w:val="681D4831"/>
    <w:rsid w:val="692E4B19"/>
    <w:rsid w:val="69513EF7"/>
    <w:rsid w:val="6BF3256F"/>
    <w:rsid w:val="6CE7018A"/>
    <w:rsid w:val="6E3E3F2D"/>
    <w:rsid w:val="6FFA01C5"/>
    <w:rsid w:val="715B2F02"/>
    <w:rsid w:val="758D1FCE"/>
    <w:rsid w:val="76A548F2"/>
    <w:rsid w:val="76AD7DBA"/>
    <w:rsid w:val="7765772E"/>
    <w:rsid w:val="776F5E62"/>
    <w:rsid w:val="77867685"/>
    <w:rsid w:val="781F36B6"/>
    <w:rsid w:val="790627AD"/>
    <w:rsid w:val="7ADC59FA"/>
    <w:rsid w:val="7AFF2FC3"/>
    <w:rsid w:val="7BF6B4C5"/>
    <w:rsid w:val="7DDD794F"/>
    <w:rsid w:val="7E716728"/>
    <w:rsid w:val="7FDE47D5"/>
    <w:rsid w:val="94BFC172"/>
    <w:rsid w:val="9BFA614C"/>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2672</Words>
  <Characters>2930</Characters>
  <Lines>3</Lines>
  <Paragraphs>1</Paragraphs>
  <TotalTime>11</TotalTime>
  <ScaleCrop>false</ScaleCrop>
  <LinksUpToDate>false</LinksUpToDate>
  <CharactersWithSpaces>2945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2019-02-13T22:26:00Z</dcterms:created>
  <dc:creator>lhn</dc:creator>
  <cp:lastModifiedBy>Administrator</cp:lastModifiedBy>
  <cp:lastPrinted>2021-02-03T04:58:00Z</cp:lastPrinted>
  <dcterms:modified xsi:type="dcterms:W3CDTF">2024-04-11T02:11:30Z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C26EB8B34C234A6D8CAC2A84074E2084</vt:lpwstr>
  </property>
</Properties>
</file>