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936EC">
      <w:pPr>
        <w:keepNext w:val="0"/>
        <w:keepLines w:val="0"/>
        <w:widowControl w:val="0"/>
        <w:overflowPunct w:val="0"/>
        <w:spacing w:before="0" w:after="0" w:line="580" w:lineRule="exact"/>
        <w:ind w:firstLine="0" w:firstLineChars="0"/>
        <w:jc w:val="left"/>
        <w:outlineLvl w:val="1"/>
        <w:rPr>
          <w:rFonts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3BCCE3CF">
      <w:pPr>
        <w:keepNext w:val="0"/>
        <w:keepLines w:val="0"/>
        <w:widowControl w:val="0"/>
        <w:overflowPunct w:val="0"/>
        <w:spacing w:before="0" w:after="0" w:line="580" w:lineRule="exact"/>
        <w:ind w:firstLine="0" w:firstLineChars="0"/>
        <w:jc w:val="center"/>
        <w:outlineLvl w:val="1"/>
        <w:rPr>
          <w:rFonts w:ascii="方正小标宋简体" w:hAnsi="黑体" w:eastAsia="方正小标宋简体" w:cs="黑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3E4C6181">
      <w:pPr>
        <w:keepNext w:val="0"/>
        <w:keepLines w:val="0"/>
        <w:widowControl w:val="0"/>
        <w:overflowPunct w:val="0"/>
        <w:spacing w:before="0" w:after="0" w:line="58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b w:val="0"/>
          <w:bCs w:val="0"/>
          <w:kern w:val="2"/>
          <w:sz w:val="44"/>
          <w:szCs w:val="44"/>
          <w:lang w:val="en-US" w:eastAsia="zh-CN" w:bidi="ar-SA"/>
        </w:rPr>
        <w:t>名 词 解 释</w:t>
      </w:r>
    </w:p>
    <w:p w14:paraId="13455B85">
      <w:pPr>
        <w:ind w:firstLine="420" w:firstLineChars="200"/>
        <w:rPr>
          <w:rFonts w:ascii="Calibri" w:hAnsi="Calibri" w:eastAsia="宋体" w:cs="Times New Roman"/>
          <w:szCs w:val="22"/>
        </w:rPr>
      </w:pPr>
    </w:p>
    <w:p w14:paraId="66D4C5FF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1.“四位一体”网格化管理：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指乡(镇)、村、国土资源所、地质环境监测保护站协同管理地质灾害防治工作的一体化模式;通过划定网格、落实人员、明确职责和任务,实施分片包干的管理方式。</w:t>
      </w:r>
    </w:p>
    <w:p w14:paraId="0BBCA8D2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“一案三制”：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“一案”是指制订修订应急预案;“三制”是指建立健全应急的体制、机制和法制。</w:t>
      </w:r>
    </w:p>
    <w:p w14:paraId="5FA54A51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“三基建设”：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指“基层、基础、基本”建设。应急管理的“基层”是指基层安全治理体系和能力；“基础”是指应急管理的基础支撑体系和能力；“基本”是指应急管理的基本保障和能力。</w:t>
      </w:r>
    </w:p>
    <w:p w14:paraId="6320F0F2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“1+4+N”防控体系：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指以社区党组织为核心，以共建共驻单位成员、小区（网格）党支部、业委会、物业公司为主体，社区工作者、下沉党员、志愿者等共同参与的防控体系。</w:t>
      </w:r>
    </w:p>
    <w:p w14:paraId="01C866DC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“十大工程”：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湖北省疫后重振补短板强功能“十大工程”。指聚焦公共卫生体系、交通、水利、能源、新基建、冷链物流和应急储备设施、城市、产业园区提升、新一轮高标准农田建设、生态环境等十大领域，推进一批打基础、补短板、强功能、利长远、惠民生的重大项目。</w:t>
      </w:r>
    </w:p>
    <w:p w14:paraId="001EAB77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“1+N”组织体系：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指应急委统筹、多个专委会管理的“1+N”安全责任组织体系，即应急委顶层设计、统筹，根据行业分工情况设置N个安全生产专业委员会具体负责管理的组织体系。</w:t>
      </w:r>
    </w:p>
    <w:p w14:paraId="33A4A7C9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“三场所三企业一行业”：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“三场所三企业”，是指有限空间作业场所、涉及可燃爆粉尘作业场所、喷涂作业场所、金属冶炼企业、涉氨制冷企业和船舶修造企业，“一行业”指危化品行业。这些场所和企业一直是事故高发领域。</w:t>
      </w:r>
    </w:p>
    <w:p w14:paraId="4EC5934B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“三类园区”：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指乡镇(街道)工业园、小微企业园、村级工业集聚园(点)等园区。</w:t>
      </w:r>
    </w:p>
    <w:p w14:paraId="0CB0868E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“三类企业”：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指厂中厂、租赁厂房、三合一等企业。</w:t>
      </w:r>
    </w:p>
    <w:p w14:paraId="6B26B50C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0.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“三同时”：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是指生产经营单位新建、改建、扩建工程项目的安全设施，必须与主体工程同时设计、同时施工、同时投入生产和使用。</w:t>
      </w:r>
    </w:p>
    <w:p w14:paraId="46FC87CB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“五色图”：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科学划定自然灾害风险类型、等级和区域，依据自然灾害的风险等级，分别用红、橙、黄、蓝、绿五种颜色依次表示高风险、较高风险、中风险、较低风险、低风险而绘制的自然灾害综合风险图，简称“五色图”。</w:t>
      </w:r>
    </w:p>
    <w:p w14:paraId="60F24917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.“四色图”：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是指科学划定企业安全生产风险等级，分别用红、橙、黄、蓝四种颜色依次表示重大风险、较大风险、一般风险、低风险、而绘制的企业安全生产风险图，简称“四色图”。</w:t>
      </w:r>
    </w:p>
    <w:p w14:paraId="49EAE919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“两客一危”：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是指从事旅游的包车、三类以上班线客车和运输危险化学品、烟花爆竹、民用爆炸物品的道路专用车辆。</w:t>
      </w:r>
    </w:p>
    <w:p w14:paraId="53FD3394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spacing w:val="-8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“高后果区”：</w:t>
      </w:r>
      <w:r>
        <w:rPr>
          <w:rFonts w:hint="eastAsia" w:ascii="仿宋_GB2312" w:hAnsi="黑体" w:eastAsia="仿宋_GB2312" w:cs="黑体"/>
          <w:b w:val="0"/>
          <w:bCs w:val="0"/>
          <w:spacing w:val="-8"/>
          <w:kern w:val="2"/>
          <w:sz w:val="32"/>
          <w:szCs w:val="32"/>
          <w:lang w:val="en-US" w:eastAsia="zh-CN" w:bidi="ar-SA"/>
        </w:rPr>
        <w:t>就是管道泄漏后可能对公众和环境造成较大不良影响的区域。</w:t>
      </w:r>
    </w:p>
    <w:p w14:paraId="33B0AA41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“一区一案”：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本规划指的是每个高后果区都要根据“自身实际”有一套自己的应急解决方案。</w:t>
      </w:r>
    </w:p>
    <w:p w14:paraId="1B805243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“3+10”专题专项整治：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聚焦3个专题和10个专项整治。聚焦“学习宣传贯彻习近平总书记关于安全生产重要论述专题”“安全生产风险防控和应急救援数字化建设专题”“落实企业安全生产主体责任专题”；开展危险化学品专项整治、加工制造类小微企业和矿山专项整治、消防专项整治、道路交通专项整治、交通运输专项整治、渔业船舶专项整治、城市建设专项整治、工业园区等功能区专项整治、危险废物等专项整治和特种设备专项整治。</w:t>
      </w:r>
    </w:p>
    <w:p w14:paraId="24E0953B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“局队合一”：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是指以应急管理局名义统一执法，通过“监管”与“执法”的并行，有效推动执法力量整合、统一、联动，实现管罚一体化、权责一体化。</w:t>
      </w:r>
    </w:p>
    <w:p w14:paraId="56C9B772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“四不两直”：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指国家安全生产监督管理总局建立的安全生产暗查暗访制度；分别为不发通知、不打招呼、不听汇报、不用陪同接待、直奔基层、直插现场。</w:t>
      </w:r>
    </w:p>
    <w:p w14:paraId="138F8767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“高低大化”：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指的是高层建筑、地下建筑、大型综合体、石化企业。</w:t>
      </w:r>
    </w:p>
    <w:p w14:paraId="044A3EFB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0.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“135”快速救援：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是指1分钟快速反应，重点区域3分钟赶到现场处置，人员密集场所5分钟赶到现场处置。</w:t>
      </w:r>
    </w:p>
    <w:p w14:paraId="2F5EDE61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“三提示”：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提示公众聚集场所火灾危险性；提示公众聚集场所安全逃生路线、安全出口的具体位置，遇到火灾等紧急情况如何正确逃生自救；提示公众所在场所内灭火器、简易防护面罩、手电筒等灭火、逃生设施、器材放置部位和使用方法。</w:t>
      </w:r>
    </w:p>
    <w:p w14:paraId="6585F5BE">
      <w:pPr>
        <w:keepNext w:val="0"/>
        <w:keepLines w:val="0"/>
        <w:widowControl w:val="0"/>
        <w:overflowPunct w:val="0"/>
        <w:spacing w:before="0" w:after="0" w:line="580" w:lineRule="exact"/>
        <w:ind w:firstLine="640" w:firstLineChars="200"/>
        <w:jc w:val="both"/>
        <w:outlineLvl w:val="1"/>
        <w:rPr>
          <w:rFonts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_GB2312" w:hAnsi="黑体" w:eastAsia="楷体_GB2312" w:cs="黑体"/>
          <w:b w:val="0"/>
          <w:bCs w:val="0"/>
          <w:kern w:val="2"/>
          <w:sz w:val="32"/>
          <w:szCs w:val="32"/>
          <w:lang w:val="en-US" w:eastAsia="zh-CN" w:bidi="ar-SA"/>
        </w:rPr>
        <w:t>“五进”：</w:t>
      </w:r>
      <w:r>
        <w:rPr>
          <w:rFonts w:hint="eastAsia" w:ascii="仿宋_GB2312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是指让消防安全意识“走进企业、走进家庭、走进学校、走进农村、走进社区”</w:t>
      </w:r>
    </w:p>
    <w:p w14:paraId="626ABF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9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2025-02-25T02:27:07Z</dcterms:created>
  <dc:creator>Administrator</dc:creator>
  <cp:lastModifiedBy>不二哈</cp:lastModifiedBy>
  <dcterms:modified xsi:type="dcterms:W3CDTF">2025-02-25T02:27:40Z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eyJoZGlkIjoiNTU2YzI2YzY5OWJjNGI5Mzc2ZmJkZDE2YmJiZmU5MmEiLCJ1c2VySWQiOiIxMTQ3ODA3NDExIn0=</vt:lpwstr>
  </property>
  <property fmtid="{D5CDD505-2E9C-101B-9397-08002B2CF9AE}" pid="4" name="ICV">
    <vt:lpwstr>3B9BA6D322074BEF84174D53CE954EE9_12</vt:lpwstr>
  </property>
</Properties>
</file>