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29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2026年上半年安全生产工作总结</w:t>
      </w:r>
    </w:p>
    <w:p w14:paraId="11696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嘉鱼县安全生产委员会办公室</w:t>
      </w:r>
    </w:p>
    <w:p w14:paraId="5D835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2026年7月7日</w:t>
      </w:r>
    </w:p>
    <w:p w14:paraId="45C1C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DF6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来，我县深入贯彻落实习近平总书记关于安全生产重要论述，紧紧围绕中央及省市决策部署，以安全生产治本攻坚三年行动收官为主线，坚持“安委会牵头抓总、专委会分线落实”工作格局，全县安全生产形势保持总体稳定。</w:t>
      </w:r>
    </w:p>
    <w:p w14:paraId="6D8684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一、2026年上半年工作情况</w:t>
      </w:r>
    </w:p>
    <w:p w14:paraId="76046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（一）高位统筹强部署，安全责任链条拧紧压实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一是党政领导责任清单化。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制定印发《嘉鱼县党政领导干部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年度安全生产、应急管理重点工作任务清单》，明确每季度重点任务，县级领导带头领责、定期调度。先后召开县委常委会、政府常务会、安委会全会等各类安全生产工作会议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45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次，第一时间传达学习中央领导同志重要指示批示精神，高频次开展调研检查督办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69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次，动态摸排掌握一、二、三季度各领域风险点位及隐患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465</w:t>
      </w:r>
      <w:r>
        <w:rPr>
          <w:rFonts w:hint="eastAsia" w:ascii="仿宋_GB2312" w:hAnsi="仿宋_GB2312" w:eastAsia="仿宋_GB2312" w:cs="仿宋_GB2312"/>
          <w:sz w:val="32"/>
          <w:szCs w:val="32"/>
        </w:rPr>
        <w:t>项，牢牢把握安全生产主动权。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二是专委会运行机制实体化。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进一步完善覆盖危化品、非煤矿山、消防等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个重点领域的专委会运行机制，明确各专委会第一主任由县级分管领导担任，实现“专业领域专业管、重点风险重点防”。通过及时印发提醒函，督促各部门提请县领导定期会商、一线督战，有效破解了跨领域安全监管难题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三是督办考核闭环化。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建立周月季三级调度机制，周调度抓动态、月调度判风险、季调度攻难题，并挂牌督办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市县两级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重大隐患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>。县纪委监委、县政府督查室全程跟进，开展综合督查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次，下发交办件、提醒函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份，严格执行“一票否决”制度，构建起“部署、检查、督办、复盘”的闭环管理链条。</w:t>
      </w:r>
    </w:p>
    <w:p w14:paraId="3BFB5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（二）聚焦收官强攻坚，治本攻坚行动见行见效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一是问题隐患常改常清。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以“收官即冲刺”的劲头推进治本攻坚三年行动，截至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月底，全县累计开展检查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375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次，检查生产经营单位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1123</w:t>
      </w:r>
      <w:r>
        <w:rPr>
          <w:rFonts w:hint="eastAsia" w:ascii="仿宋_GB2312" w:hAnsi="仿宋_GB2312" w:eastAsia="仿宋_GB2312" w:cs="仿宋_GB2312"/>
          <w:sz w:val="32"/>
          <w:szCs w:val="32"/>
        </w:rPr>
        <w:t>家次，排查问题隐患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2434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条，其中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61</w:t>
      </w:r>
      <w:r>
        <w:rPr>
          <w:rFonts w:hint="eastAsia" w:ascii="仿宋_GB2312" w:hAnsi="仿宋_GB2312" w:eastAsia="仿宋_GB2312" w:cs="仿宋_GB2312"/>
          <w:sz w:val="32"/>
          <w:szCs w:val="32"/>
        </w:rPr>
        <w:t>条重大隐患全部整改销号，整改率达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%，切实做到隐患动态清零。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二是安全素质全面提升。</w:t>
      </w:r>
      <w:r>
        <w:rPr>
          <w:rFonts w:hint="eastAsia" w:ascii="仿宋_GB2312" w:hAnsi="仿宋_GB2312" w:eastAsia="仿宋_GB2312" w:cs="仿宋_GB2312"/>
          <w:sz w:val="32"/>
          <w:szCs w:val="32"/>
        </w:rPr>
        <w:t>坚持“培训不到位就是最大隐患”理念，累计组织企业主要负责人专题培训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85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3433</w:t>
      </w:r>
      <w:r>
        <w:rPr>
          <w:rFonts w:hint="eastAsia" w:ascii="仿宋_GB2312" w:hAnsi="仿宋_GB2312" w:eastAsia="仿宋_GB2312" w:cs="仿宋_GB2312"/>
          <w:sz w:val="32"/>
          <w:szCs w:val="32"/>
        </w:rPr>
        <w:t>人次，开展重大事故隐患判定标准宣贯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158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批次覆盖万余人，开展从业人员安全技能培训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168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8632</w:t>
      </w:r>
      <w:r>
        <w:rPr>
          <w:rFonts w:hint="eastAsia" w:ascii="仿宋_GB2312" w:hAnsi="仿宋_GB2312" w:eastAsia="仿宋_GB2312" w:cs="仿宋_GB2312"/>
          <w:sz w:val="32"/>
          <w:szCs w:val="32"/>
        </w:rPr>
        <w:t>人次，从源头上提升了人的本质安全水平。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三是奖惩机制双向发力。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在非煤矿山、危化品、燃气、建筑施工等高危及重点行业领域，推动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1728</w:t>
      </w:r>
      <w:r>
        <w:rPr>
          <w:rFonts w:hint="eastAsia" w:ascii="仿宋_GB2312" w:hAnsi="仿宋_GB2312" w:eastAsia="仿宋_GB2312" w:cs="仿宋_GB2312"/>
          <w:sz w:val="32"/>
          <w:szCs w:val="32"/>
        </w:rPr>
        <w:t>家生产经营单位建立事故隐患内部报告奖励机制，累计兑现奖励资金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4.57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万元，整改隐患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2224</w:t>
      </w:r>
      <w:r>
        <w:rPr>
          <w:rFonts w:hint="eastAsia" w:ascii="仿宋_GB2312" w:hAnsi="仿宋_GB2312" w:eastAsia="仿宋_GB2312" w:cs="仿宋_GB2312"/>
          <w:sz w:val="32"/>
          <w:szCs w:val="32"/>
        </w:rPr>
        <w:t>项，让“吹哨人”制度真正落地生根，激发了全员查隐患的内生动力。</w:t>
      </w:r>
    </w:p>
    <w:p w14:paraId="424CD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（三）精准施策强整治，重点领域防线织密筑牢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一是危化领域严守“三道防线”。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严守源头防范线，组织专家对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家危化生产企业开展深度“体检”，排查隐患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226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条，把好复工复产安全关；严守过程管控线，聘请第三方技术团队，对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家重点企业开展新规范宣贯，并对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家生产、经营企业进行“一对一”驻点指导，共排查整治隐患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554</w:t>
      </w:r>
      <w:r>
        <w:rPr>
          <w:rFonts w:hint="eastAsia" w:ascii="仿宋_GB2312" w:hAnsi="仿宋_GB2312" w:eastAsia="仿宋_GB2312" w:cs="仿宋_GB2312"/>
          <w:sz w:val="32"/>
          <w:szCs w:val="32"/>
        </w:rPr>
        <w:t>条，提升精细化管理水平；严守监管执法线，对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家违规企业立案调查，处罚款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万元，并联合检察院、消防等部门开展协同执法，实现“进一次门、查多项事”，全力支持化工园区配齐配强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名专职监管人员，提升本质安全水平。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二是工贸冶金紧盯“三类风险”。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紧盯粉尘涉爆、有限空间作业及涉危企业风险，分阶段开展专项帮扶，完成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家粉尘涉爆企业排查，整改隐患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332</w:t>
      </w:r>
      <w:r>
        <w:rPr>
          <w:rFonts w:hint="eastAsia" w:ascii="仿宋_GB2312" w:hAnsi="仿宋_GB2312" w:eastAsia="仿宋_GB2312" w:cs="仿宋_GB2312"/>
          <w:sz w:val="32"/>
          <w:szCs w:val="32"/>
        </w:rPr>
        <w:t>条；强化特种作业专项培训，覆盖电气焊、临时用电等重点岗位人员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149</w:t>
      </w:r>
      <w:r>
        <w:rPr>
          <w:rFonts w:hint="eastAsia" w:ascii="仿宋_GB2312" w:hAnsi="仿宋_GB2312" w:eastAsia="仿宋_GB2312" w:cs="仿宋_GB2312"/>
          <w:sz w:val="32"/>
          <w:szCs w:val="32"/>
        </w:rPr>
        <w:t>人；在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74</w:t>
      </w:r>
      <w:r>
        <w:rPr>
          <w:rFonts w:hint="eastAsia" w:ascii="仿宋_GB2312" w:hAnsi="仿宋_GB2312" w:eastAsia="仿宋_GB2312" w:cs="仿宋_GB2312"/>
          <w:sz w:val="32"/>
          <w:szCs w:val="32"/>
        </w:rPr>
        <w:t>家工贸企业推广落实安全宣教奖励机制，鼓励员工从“要我安全”向“我要安全”转变。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三是矿山领域攻坚“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两个重点”。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聚焦重大事故隐患动态清零和“反三违”常态化治理，统筹开展执法检查、联合督查、专项帮扶和教育培训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6次</w:t>
      </w:r>
      <w:r>
        <w:rPr>
          <w:rFonts w:hint="eastAsia" w:ascii="仿宋_GB2312" w:hAnsi="仿宋_GB2312" w:eastAsia="仿宋_GB2312" w:cs="仿宋_GB2312"/>
          <w:sz w:val="32"/>
          <w:szCs w:val="32"/>
        </w:rPr>
        <w:t>，排查整改隐患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条。督促企业投入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</w:t>
      </w:r>
      <w:r>
        <w:rPr>
          <w:rFonts w:hint="eastAsia" w:ascii="仿宋_GB2312" w:hAnsi="仿宋_GB2312" w:eastAsia="仿宋_GB2312" w:cs="仿宋_GB2312"/>
          <w:sz w:val="32"/>
          <w:szCs w:val="32"/>
        </w:rPr>
        <w:t>智能化监测监控设备，实现数据稳定上传。聘请专家评定风险点位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52</w:t>
      </w:r>
      <w:r>
        <w:rPr>
          <w:rFonts w:hint="eastAsia" w:ascii="仿宋_GB2312" w:hAnsi="仿宋_GB2312" w:eastAsia="仿宋_GB2312" w:cs="仿宋_GB2312"/>
          <w:sz w:val="32"/>
          <w:szCs w:val="32"/>
        </w:rPr>
        <w:t>个，对中高风险区域实行精准管控、闭环整改。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是重点领域实现“多维突破”。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道路交通领域，聚焦“两客一危一货”，累计检查车辆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8498</w:t>
      </w:r>
      <w:r>
        <w:rPr>
          <w:rFonts w:hint="eastAsia" w:ascii="仿宋_GB2312" w:hAnsi="仿宋_GB2312" w:eastAsia="仿宋_GB2312" w:cs="仿宋_GB2312"/>
          <w:sz w:val="32"/>
          <w:szCs w:val="32"/>
        </w:rPr>
        <w:t>台次，查处违法车辆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33</w:t>
      </w:r>
      <w:r>
        <w:rPr>
          <w:rFonts w:hint="eastAsia" w:ascii="仿宋_GB2312" w:hAnsi="仿宋_GB2312" w:eastAsia="仿宋_GB2312" w:cs="仿宋_GB2312"/>
          <w:sz w:val="32"/>
          <w:szCs w:val="32"/>
        </w:rPr>
        <w:t>台；巡查公路里程超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2.1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万公里，排查整改隐患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96</w:t>
      </w:r>
      <w:r>
        <w:rPr>
          <w:rFonts w:hint="eastAsia" w:ascii="仿宋_GB2312" w:hAnsi="仿宋_GB2312" w:eastAsia="仿宋_GB2312" w:cs="仿宋_GB2312"/>
          <w:sz w:val="32"/>
          <w:szCs w:val="32"/>
        </w:rPr>
        <w:t>处，完成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38.14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公里村道安防工程，路网安全基础进一步夯实。建筑施工领域，对全县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91</w:t>
      </w:r>
      <w:r>
        <w:rPr>
          <w:rFonts w:hint="eastAsia" w:ascii="仿宋_GB2312" w:hAnsi="仿宋_GB2312" w:eastAsia="仿宋_GB2312" w:cs="仿宋_GB2312"/>
          <w:sz w:val="32"/>
          <w:szCs w:val="32"/>
        </w:rPr>
        <w:t>台起重机械全覆盖检查，对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台重大隐患设备坚决停用，对深基坑、高支模等重大危险源实施“一工程一方案”精准监管。城镇燃气领域，聚焦重点场所拉网排查，整改隐患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87</w:t>
      </w:r>
      <w:r>
        <w:rPr>
          <w:rFonts w:hint="eastAsia" w:ascii="仿宋_GB2312" w:hAnsi="仿宋_GB2312" w:eastAsia="仿宋_GB2312" w:cs="仿宋_GB2312"/>
          <w:sz w:val="32"/>
          <w:szCs w:val="32"/>
        </w:rPr>
        <w:t>条；加速推进液化气站“十站合一”项目及老旧管网改造，累计改造管网超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200</w:t>
      </w:r>
      <w:r>
        <w:rPr>
          <w:rFonts w:hint="eastAsia" w:ascii="仿宋_GB2312" w:hAnsi="仿宋_GB2312" w:eastAsia="仿宋_GB2312" w:cs="仿宋_GB2312"/>
          <w:sz w:val="32"/>
          <w:szCs w:val="32"/>
        </w:rPr>
        <w:t>公里，入户安检率达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%。特种设备领域，对全县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52</w:t>
      </w:r>
      <w:r>
        <w:rPr>
          <w:rFonts w:hint="eastAsia" w:ascii="仿宋_GB2312" w:hAnsi="仿宋_GB2312" w:eastAsia="仿宋_GB2312" w:cs="仿宋_GB2312"/>
          <w:sz w:val="32"/>
          <w:szCs w:val="32"/>
        </w:rPr>
        <w:t>台在用锅炉进行全覆盖检查，并联合文旅部门对各大景区游乐设施开展专项排查，保障设备安全运行。烟花爆竹领域，完成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家批发企业安全复核，整治重点零售店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家，查处超标违禁产品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3225</w:t>
      </w:r>
      <w:r>
        <w:rPr>
          <w:rFonts w:hint="eastAsia" w:ascii="仿宋_GB2312" w:hAnsi="仿宋_GB2312" w:eastAsia="仿宋_GB2312" w:cs="仿宋_GB2312"/>
          <w:sz w:val="32"/>
          <w:szCs w:val="32"/>
        </w:rPr>
        <w:t>箱，打击非法经营、储存案件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</w:rPr>
        <w:t>起，行政拘留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人，有力震慑了违法行为。</w:t>
      </w:r>
    </w:p>
    <w:p w14:paraId="341C2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（四）平战结合强宣教，全民安全素养显著提升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一是实战演练淬炼精兵。</w:t>
      </w:r>
      <w:r>
        <w:rPr>
          <w:rFonts w:hint="eastAsia" w:ascii="仿宋_GB2312" w:hAnsi="仿宋_GB2312" w:eastAsia="仿宋_GB2312" w:cs="仿宋_GB2312"/>
          <w:sz w:val="32"/>
          <w:szCs w:val="32"/>
        </w:rPr>
        <w:t>结合龙舟赛事、防汛抗旱等节点，组织开展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防溺水、</w:t>
      </w:r>
      <w:r>
        <w:rPr>
          <w:rFonts w:hint="eastAsia" w:ascii="仿宋_GB2312" w:hAnsi="仿宋_GB2312" w:eastAsia="仿宋_GB2312" w:cs="仿宋_GB2312"/>
          <w:sz w:val="32"/>
          <w:szCs w:val="32"/>
        </w:rPr>
        <w:t>危化品跨区域应急演练、山洪灾害避险等各类实兵实操演练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余场，覆盖群众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万余人次。将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个镇专职消防队纳入统一调度平台，初战响应时间同比缩短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45</w:t>
      </w:r>
      <w:r>
        <w:rPr>
          <w:rFonts w:hint="eastAsia" w:ascii="仿宋_GB2312" w:hAnsi="仿宋_GB2312" w:eastAsia="仿宋_GB2312" w:cs="仿宋_GB2312"/>
          <w:sz w:val="32"/>
          <w:szCs w:val="32"/>
        </w:rPr>
        <w:t>%，应急救援“硬实力”显著增强。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二是靶向宣传精准滴灌。</w:t>
      </w:r>
      <w:r>
        <w:rPr>
          <w:rFonts w:hint="eastAsia" w:ascii="仿宋_GB2312" w:hAnsi="仿宋_GB2312" w:eastAsia="仿宋_GB2312" w:cs="仿宋_GB2312"/>
          <w:sz w:val="32"/>
          <w:szCs w:val="32"/>
        </w:rPr>
        <w:t>紧扣“人人讲安全、个个会应急”主题，针对高层住宅、老旧小区、九小场所等不同场景，通过“线上+线下”“敲门入户+集中宣讲”等方式，开展精准化宣传。累计发放宣传手册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6.1</w:t>
      </w:r>
      <w:r>
        <w:rPr>
          <w:rFonts w:hint="eastAsia" w:ascii="仿宋_GB2312" w:hAnsi="仿宋_GB2312" w:eastAsia="仿宋_GB2312" w:cs="仿宋_GB2312"/>
          <w:sz w:val="32"/>
          <w:szCs w:val="32"/>
        </w:rPr>
        <w:t>万份，投放科普短视频覆盖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万人次，切实打通安全宣传“最后一米”。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三是消防基础夯实补短。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34</w:t>
      </w:r>
      <w:r>
        <w:rPr>
          <w:rFonts w:hint="eastAsia" w:ascii="仿宋_GB2312" w:hAnsi="仿宋_GB2312" w:eastAsia="仿宋_GB2312" w:cs="仿宋_GB2312"/>
          <w:sz w:val="32"/>
          <w:szCs w:val="32"/>
        </w:rPr>
        <w:t>个高层小区消防设施改造纳入民生实事，创新“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1:2:7</w:t>
      </w:r>
      <w:r>
        <w:rPr>
          <w:rFonts w:hint="eastAsia" w:ascii="仿宋_GB2312" w:hAnsi="仿宋_GB2312" w:eastAsia="仿宋_GB2312" w:cs="仿宋_GB2312"/>
          <w:sz w:val="32"/>
          <w:szCs w:val="32"/>
        </w:rPr>
        <w:t>”资金筹措机制，投入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600</w:t>
      </w:r>
      <w:r>
        <w:rPr>
          <w:rFonts w:hint="eastAsia" w:ascii="仿宋_GB2312" w:hAnsi="仿宋_GB2312" w:eastAsia="仿宋_GB2312" w:cs="仿宋_GB2312"/>
          <w:sz w:val="32"/>
          <w:szCs w:val="32"/>
        </w:rPr>
        <w:t>余万元彻底解决消防供水及设施完好问题。为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558</w:t>
      </w:r>
      <w:r>
        <w:rPr>
          <w:rFonts w:hint="eastAsia" w:ascii="仿宋_GB2312" w:hAnsi="仿宋_GB2312" w:eastAsia="仿宋_GB2312" w:cs="仿宋_GB2312"/>
          <w:sz w:val="32"/>
          <w:szCs w:val="32"/>
        </w:rPr>
        <w:t>户特殊群体、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416</w:t>
      </w:r>
      <w:r>
        <w:rPr>
          <w:rFonts w:hint="eastAsia" w:ascii="仿宋_GB2312" w:hAnsi="仿宋_GB2312" w:eastAsia="仿宋_GB2312" w:cs="仿宋_GB2312"/>
          <w:sz w:val="32"/>
          <w:szCs w:val="32"/>
        </w:rPr>
        <w:t>家“九小场所”安装简易喷淋和智能烟感报警器，从源头压降了“小火亡人”风险。</w:t>
      </w:r>
    </w:p>
    <w:p w14:paraId="0C5E2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二、存在的风险和问题</w:t>
      </w:r>
    </w:p>
    <w:p w14:paraId="116C2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一是新老风险交织叠加，监管难度增大。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县危化、冶金等产业体量大，部分设备进入老化期，金盛兰煤气储备站、蛇屋山尾矿库等重大风险源管控压力不减。与此同时，文旅新业态、高层建筑、老旧小区等带来的非传统风险不断涌现，给精准监管带来了新的挑战。</w:t>
      </w:r>
    </w:p>
    <w:p w14:paraId="6E441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二是主体责任落实不畅，“最后一公里”有堵点。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部分企业“重生产、轻安全”的惯性思维尚未根本扭转，隐患自查自纠流于形式，员工“三违”现象屡禁不止。特别是中小微企业安全投入不足、专业人才匮乏的问题尤为突出，导致安全管理制度悬空。</w:t>
      </w:r>
    </w:p>
    <w:p w14:paraId="2A67C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三是基层基础尚显薄弱，监管能力有短板。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部分乡镇（街道）安全监管力量不足、专业能力不强，面对量大面广的“九小场所”常感力不从心。信息化、智能化监管手段应用不够广泛，风险预警的前瞻性、精准性有待进一步提升。</w:t>
      </w:r>
    </w:p>
    <w:p w14:paraId="7B1AE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三、下一步工作举措</w:t>
      </w:r>
    </w:p>
    <w:p w14:paraId="15293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（一）突出责任闭环，在凝聚监管合力上再发力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持续深化“党政同责、一岗双责”，依托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个专委会工作机制，常态化落实县级领导季调度、月研判制度。强化企业主体责任落实，深化事故隐患内部报告奖励机制建设，推动企业由被动接受监管向主动加强管理转变。用好督查考核“指挥棒”，对重大隐患整改不力、监管责任虚化的，严肃约谈问责，确保责任链条无缝对接。</w:t>
      </w:r>
    </w:p>
    <w:p w14:paraId="493D0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（二）突出清零见底，在深化排查整治上再攻坚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入开展安全生产大排查大整治大提升集中攻坚行动，邀请专家开展“体检式”帮扶，聚焦关键人、关键企业和关键环节，全面排查整治隐患。同时，全面做好中央和省委巡视迎检工作，对照巡查要点逐项梳理、规范资料，充分展现我县安全生产工作实效。</w:t>
      </w:r>
    </w:p>
    <w:p w14:paraId="0C458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（三）突出机制创新，在刚性监管约束上再强化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“三个一”（一张图、一张表、一细则）与“红黄牌”管理机制的融合应用，推动风险管控清单化、分级化、刚性化。督促各镇、各专委会加快绘制安全风险四色分布图，建立从风险辨识、隐患上报到警示整改、追责问责的全流程管控清单，以“带电的高压线”倒逼责任落实到“最后一米”。</w:t>
      </w:r>
    </w:p>
    <w:p w14:paraId="7A398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（四）突出治本攻坚，在根除顽瘴痼疾上再深入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打好治本攻坚三年行动“收官战”，对已整改的重大隐患开展“回头看”，严防反弹回潮。聚焦危化、工贸、燃气、建筑施工等高风险领域，持续深化“一件事”全链条整治，严厉打击非法违法生产经营行为。加快推动老旧管网更新改造、化工园区补短板等一批“人防、技防、工程防”项目落地，着力提升行业本质安全水平。</w:t>
      </w:r>
    </w:p>
    <w:p w14:paraId="786BF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（五）突出强基固本，在筑牢安全防线上再提升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大基层安全监管人员业务培训力度，提升专业发现问题和解决问题的能力。加快“智慧应急”建设，推进燃气生命线工程、消防智能监测等信息化项目，实现风险隐患“早发现、早预警、早处置”。持续开展形式多样的安全宣教和实战演练，提升全社会安全意识和避险逃生能力，坚决守护人民群众生命财产安全。</w:t>
      </w:r>
    </w:p>
    <w:sectPr>
      <w:footerReference r:id="rId3" w:type="default"/>
      <w:pgSz w:w="11906" w:h="16838"/>
      <w:pgMar w:top="2154" w:right="1531" w:bottom="1814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4F2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57423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574232">
                    <w:pPr>
                      <w:pStyle w:val="2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5D1DCF"/>
    <w:rsid w:val="0D996408"/>
    <w:rsid w:val="28CA467C"/>
    <w:rsid w:val="31D73D12"/>
    <w:rsid w:val="32A54FE0"/>
    <w:rsid w:val="341839A2"/>
    <w:rsid w:val="6B2F7D93"/>
    <w:rsid w:val="79197C63"/>
    <w:rsid w:val="7AB1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3211</Words>
  <Characters>3323</Characters>
  <Lines>0</Lines>
  <Paragraphs>0</Paragraphs>
  <TotalTime>27</TotalTime>
  <ScaleCrop>false</ScaleCrop>
  <LinksUpToDate>false</LinksUpToDate>
  <CharactersWithSpaces>3323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2026-07-06T06:45:00Z</dcterms:created>
  <dc:creator>Administrator</dc:creator>
  <cp:lastModifiedBy>WPS_1602204097</cp:lastModifiedBy>
  <dcterms:modified xsi:type="dcterms:W3CDTF">2026-07-08T07:26:40Z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eyJoZGlkIjoiODk5ZTY0ZDVkNzJlZWY2ODZlZDI2ZjRlYzE5NGZhNmQiLCJ1c2VySWQiOiIxMTI4Nzg2NjI0In0=</vt:lpwstr>
  </property>
  <property fmtid="{D5CDD505-2E9C-101B-9397-08002B2CF9AE}" pid="4" name="ICV">
    <vt:lpwstr>8FF9B877DD3748BDA4850A8AF730836D_12</vt:lpwstr>
  </property>
</Properties>
</file>