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BF85F">
      <w:pPr>
        <w:rPr>
          <w:rFonts w:hint="eastAsia" w:ascii="方正小标宋简体" w:hAnsi="宋体" w:eastAsia="方正小标宋简体" w:cs="方正小标宋简体"/>
          <w:sz w:val="36"/>
          <w:szCs w:val="36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</w:p>
    <w:p w14:paraId="2026CD63">
      <w:pPr>
        <w:jc w:val="center"/>
        <w:rPr>
          <w:rFonts w:hint="eastAsia" w:ascii="楷体_GB2312" w:hAnsi="仿宋" w:eastAsia="楷体_GB2312" w:cs="楷体_GB2312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年度部门整体绩效自评表</w:t>
      </w:r>
    </w:p>
    <w:p w14:paraId="1326E8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_GB2312" w:hAnsi="黑体" w:eastAsia="楷体_GB2312"/>
          <w:kern w:val="0"/>
          <w:sz w:val="24"/>
          <w:szCs w:val="24"/>
          <w:lang w:val="en-US" w:eastAsia="zh-CN"/>
        </w:rPr>
      </w:pP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ascii="楷体_GB2312" w:hAnsi="仿宋" w:eastAsia="楷体_GB2312" w:cs="楷体_GB2312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楷体_GB2312" w:hAnsi="仿宋" w:eastAsia="楷体_GB2312" w:cs="楷体_GB2312"/>
          <w:kern w:val="0"/>
          <w:sz w:val="24"/>
          <w:szCs w:val="24"/>
        </w:rPr>
        <w:t>填报日期：</w:t>
      </w:r>
      <w:r>
        <w:rPr>
          <w:rFonts w:hint="eastAsia" w:ascii="楷体_GB2312" w:hAnsi="仿宋" w:eastAsia="楷体_GB2312" w:cs="楷体_GB2312"/>
          <w:kern w:val="0"/>
          <w:sz w:val="24"/>
          <w:szCs w:val="24"/>
          <w:lang w:val="en-US" w:eastAsia="zh-CN"/>
        </w:rPr>
        <w:t>2026年5月25日</w:t>
      </w:r>
    </w:p>
    <w:tbl>
      <w:tblPr>
        <w:tblStyle w:val="2"/>
        <w:tblW w:w="8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976"/>
        <w:gridCol w:w="1192"/>
        <w:gridCol w:w="663"/>
        <w:gridCol w:w="618"/>
        <w:gridCol w:w="795"/>
        <w:gridCol w:w="442"/>
        <w:gridCol w:w="1236"/>
        <w:gridCol w:w="398"/>
        <w:gridCol w:w="838"/>
        <w:gridCol w:w="1238"/>
      </w:tblGrid>
      <w:tr w14:paraId="13A90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7A88F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 w14:paraId="71299144">
            <w:pPr>
              <w:keepNext w:val="0"/>
              <w:keepLines w:val="0"/>
              <w:pageBreakBefore w:val="0"/>
              <w:widowControl/>
              <w:tabs>
                <w:tab w:val="left" w:pos="44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嘉鱼县自然资源和规划局</w:t>
            </w:r>
          </w:p>
        </w:tc>
      </w:tr>
      <w:tr w14:paraId="0CCBA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56B40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基本支出总额</w:t>
            </w:r>
          </w:p>
          <w:p w14:paraId="59CC0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 w14:paraId="4437C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2184.94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 w14:paraId="24741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项目支出总额</w:t>
            </w:r>
          </w:p>
          <w:p w14:paraId="11B6C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474" w:type="dxa"/>
            <w:gridSpan w:val="3"/>
            <w:noWrap w:val="0"/>
            <w:vAlign w:val="center"/>
          </w:tcPr>
          <w:p w14:paraId="469FB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211.38</w:t>
            </w:r>
          </w:p>
        </w:tc>
      </w:tr>
      <w:tr w14:paraId="02CD1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Merge w:val="restart"/>
            <w:noWrap w:val="0"/>
            <w:vAlign w:val="center"/>
          </w:tcPr>
          <w:p w14:paraId="4188E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预算执行情况（万元）</w:t>
            </w:r>
          </w:p>
        </w:tc>
        <w:tc>
          <w:tcPr>
            <w:tcW w:w="1192" w:type="dxa"/>
            <w:vMerge w:val="restart"/>
            <w:noWrap w:val="0"/>
            <w:vAlign w:val="center"/>
          </w:tcPr>
          <w:p w14:paraId="69F58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部门整体</w:t>
            </w:r>
          </w:p>
          <w:p w14:paraId="3DA2D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支出总额</w:t>
            </w:r>
          </w:p>
        </w:tc>
        <w:tc>
          <w:tcPr>
            <w:tcW w:w="2076" w:type="dxa"/>
            <w:gridSpan w:val="3"/>
            <w:noWrap w:val="0"/>
            <w:vAlign w:val="center"/>
          </w:tcPr>
          <w:p w14:paraId="502C2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预算数（A）</w:t>
            </w:r>
          </w:p>
        </w:tc>
        <w:tc>
          <w:tcPr>
            <w:tcW w:w="2076" w:type="dxa"/>
            <w:gridSpan w:val="3"/>
            <w:noWrap w:val="0"/>
            <w:vAlign w:val="center"/>
          </w:tcPr>
          <w:p w14:paraId="44FD6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执行数（B）</w:t>
            </w:r>
          </w:p>
        </w:tc>
        <w:tc>
          <w:tcPr>
            <w:tcW w:w="2076" w:type="dxa"/>
            <w:gridSpan w:val="2"/>
            <w:noWrap w:val="0"/>
            <w:vAlign w:val="center"/>
          </w:tcPr>
          <w:p w14:paraId="55AD7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执行率（B/A）</w:t>
            </w:r>
          </w:p>
        </w:tc>
      </w:tr>
      <w:tr w14:paraId="2561A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Merge w:val="continue"/>
            <w:noWrap w:val="0"/>
            <w:vAlign w:val="center"/>
          </w:tcPr>
          <w:p w14:paraId="37BD1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192" w:type="dxa"/>
            <w:vMerge w:val="continue"/>
            <w:noWrap w:val="0"/>
            <w:vAlign w:val="center"/>
          </w:tcPr>
          <w:p w14:paraId="6B66C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076" w:type="dxa"/>
            <w:gridSpan w:val="3"/>
            <w:noWrap w:val="0"/>
            <w:vAlign w:val="center"/>
          </w:tcPr>
          <w:p w14:paraId="7D8E2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2396.32</w:t>
            </w:r>
          </w:p>
        </w:tc>
        <w:tc>
          <w:tcPr>
            <w:tcW w:w="2076" w:type="dxa"/>
            <w:gridSpan w:val="3"/>
            <w:noWrap w:val="0"/>
            <w:vAlign w:val="center"/>
          </w:tcPr>
          <w:p w14:paraId="17F94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2396.32</w:t>
            </w:r>
          </w:p>
        </w:tc>
        <w:tc>
          <w:tcPr>
            <w:tcW w:w="2076" w:type="dxa"/>
            <w:gridSpan w:val="2"/>
            <w:noWrap w:val="0"/>
            <w:vAlign w:val="center"/>
          </w:tcPr>
          <w:p w14:paraId="6F192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</w:tr>
      <w:tr w14:paraId="14134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72AD7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年度目标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 w14:paraId="428617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完成卫片执法检查；及时查处土地、矿产违法行为。</w:t>
            </w:r>
          </w:p>
          <w:p w14:paraId="7AF88A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确保全县重点建设项目落地经费。</w:t>
            </w:r>
          </w:p>
          <w:p w14:paraId="5B6E0B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单位公共服务正常进行。</w:t>
            </w:r>
          </w:p>
          <w:p w14:paraId="31C0AB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保证规划展示馆正常运行，宣传城市规划及建设成就，展望城市发展的宏伟蓝图。</w:t>
            </w:r>
          </w:p>
          <w:p w14:paraId="23D63B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正常开展国产电脑采购。</w:t>
            </w:r>
          </w:p>
        </w:tc>
      </w:tr>
      <w:tr w14:paraId="36493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restart"/>
            <w:noWrap w:val="0"/>
            <w:vAlign w:val="center"/>
          </w:tcPr>
          <w:p w14:paraId="4E2F2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年度绩效目标</w:t>
            </w:r>
          </w:p>
        </w:tc>
        <w:tc>
          <w:tcPr>
            <w:tcW w:w="976" w:type="dxa"/>
            <w:noWrap w:val="0"/>
            <w:vAlign w:val="center"/>
          </w:tcPr>
          <w:p w14:paraId="31531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一级</w:t>
            </w:r>
          </w:p>
          <w:p w14:paraId="1C9D3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 w14:paraId="3CEBE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02A22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236" w:type="dxa"/>
            <w:noWrap w:val="0"/>
            <w:vAlign w:val="center"/>
          </w:tcPr>
          <w:p w14:paraId="6727D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指标分类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5220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年初目标值</w:t>
            </w:r>
          </w:p>
        </w:tc>
        <w:tc>
          <w:tcPr>
            <w:tcW w:w="1238" w:type="dxa"/>
            <w:noWrap w:val="0"/>
            <w:vAlign w:val="center"/>
          </w:tcPr>
          <w:p w14:paraId="72286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实际完成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值</w:t>
            </w:r>
          </w:p>
        </w:tc>
      </w:tr>
      <w:tr w14:paraId="21557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16A95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00D3B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运行成本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 w14:paraId="253F4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公用经费控制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2A20E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公用经费控制率</w:t>
            </w:r>
          </w:p>
        </w:tc>
        <w:tc>
          <w:tcPr>
            <w:tcW w:w="1236" w:type="dxa"/>
            <w:noWrap w:val="0"/>
            <w:vAlign w:val="center"/>
          </w:tcPr>
          <w:p w14:paraId="2334A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F9DA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10DAE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=100%</w:t>
            </w:r>
          </w:p>
        </w:tc>
      </w:tr>
      <w:tr w14:paraId="780F1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0E766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07112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6B524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在职人员控制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55805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在职人员控制率</w:t>
            </w:r>
          </w:p>
        </w:tc>
        <w:tc>
          <w:tcPr>
            <w:tcW w:w="1236" w:type="dxa"/>
            <w:noWrap w:val="0"/>
            <w:vAlign w:val="center"/>
          </w:tcPr>
          <w:p w14:paraId="3879A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C91D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56B8E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=100%</w:t>
            </w:r>
          </w:p>
        </w:tc>
      </w:tr>
      <w:tr w14:paraId="5F31C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63C75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6ACE9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6D71B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项目支出</w:t>
            </w:r>
          </w:p>
          <w:p w14:paraId="30E45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成本控制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3380D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会议费控制率</w:t>
            </w:r>
          </w:p>
        </w:tc>
        <w:tc>
          <w:tcPr>
            <w:tcW w:w="1236" w:type="dxa"/>
            <w:noWrap w:val="0"/>
            <w:vAlign w:val="center"/>
          </w:tcPr>
          <w:p w14:paraId="2787A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33A2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15ABE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54E6A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047E8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38632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13830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5A491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“三公经费”变动率</w:t>
            </w:r>
          </w:p>
        </w:tc>
        <w:tc>
          <w:tcPr>
            <w:tcW w:w="1236" w:type="dxa"/>
            <w:noWrap w:val="0"/>
            <w:vAlign w:val="center"/>
          </w:tcPr>
          <w:p w14:paraId="372E8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1E574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≤0%</w:t>
            </w:r>
          </w:p>
        </w:tc>
        <w:tc>
          <w:tcPr>
            <w:tcW w:w="1238" w:type="dxa"/>
            <w:noWrap w:val="0"/>
            <w:vAlign w:val="center"/>
          </w:tcPr>
          <w:p w14:paraId="020FA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≤0%</w:t>
            </w:r>
          </w:p>
        </w:tc>
      </w:tr>
      <w:tr w14:paraId="1C4DF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3C890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0CFE9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管理效率</w:t>
            </w: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69951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战略管理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1725E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中长期规划相符性</w:t>
            </w:r>
          </w:p>
        </w:tc>
        <w:tc>
          <w:tcPr>
            <w:tcW w:w="1236" w:type="dxa"/>
            <w:noWrap w:val="0"/>
            <w:vAlign w:val="center"/>
          </w:tcPr>
          <w:p w14:paraId="28E13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1DDC2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相符</w:t>
            </w:r>
          </w:p>
        </w:tc>
        <w:tc>
          <w:tcPr>
            <w:tcW w:w="1238" w:type="dxa"/>
            <w:noWrap w:val="0"/>
            <w:vAlign w:val="center"/>
          </w:tcPr>
          <w:p w14:paraId="7D7E8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相符</w:t>
            </w:r>
          </w:p>
        </w:tc>
      </w:tr>
      <w:tr w14:paraId="35DBF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239A7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70F1D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1BF82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3C50D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工作计划健全性</w:t>
            </w:r>
          </w:p>
        </w:tc>
        <w:tc>
          <w:tcPr>
            <w:tcW w:w="1236" w:type="dxa"/>
            <w:noWrap w:val="0"/>
            <w:vAlign w:val="center"/>
          </w:tcPr>
          <w:p w14:paraId="0610A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943A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  <w:tc>
          <w:tcPr>
            <w:tcW w:w="1238" w:type="dxa"/>
            <w:noWrap w:val="0"/>
            <w:vAlign w:val="center"/>
          </w:tcPr>
          <w:p w14:paraId="0CEDF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</w:tr>
      <w:tr w14:paraId="390FD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75460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356F9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4A20F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预算编制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310CC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预算编制科学性</w:t>
            </w:r>
          </w:p>
        </w:tc>
        <w:tc>
          <w:tcPr>
            <w:tcW w:w="1236" w:type="dxa"/>
            <w:noWrap w:val="0"/>
            <w:vAlign w:val="center"/>
          </w:tcPr>
          <w:p w14:paraId="7FD17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1907D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科学</w:t>
            </w:r>
          </w:p>
        </w:tc>
        <w:tc>
          <w:tcPr>
            <w:tcW w:w="1238" w:type="dxa"/>
            <w:noWrap w:val="0"/>
            <w:vAlign w:val="center"/>
          </w:tcPr>
          <w:p w14:paraId="3C389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科学</w:t>
            </w:r>
          </w:p>
        </w:tc>
      </w:tr>
      <w:tr w14:paraId="133B6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0344D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5EAFF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37CB7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07C41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预算编制合理性</w:t>
            </w:r>
          </w:p>
        </w:tc>
        <w:tc>
          <w:tcPr>
            <w:tcW w:w="1236" w:type="dxa"/>
            <w:noWrap w:val="0"/>
            <w:vAlign w:val="center"/>
          </w:tcPr>
          <w:p w14:paraId="50E9C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194D1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  <w:tc>
          <w:tcPr>
            <w:tcW w:w="1238" w:type="dxa"/>
            <w:noWrap w:val="0"/>
            <w:vAlign w:val="center"/>
          </w:tcPr>
          <w:p w14:paraId="033DE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</w:tr>
      <w:tr w14:paraId="5D1E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17733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451B9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55AC4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6CFC8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立项规范性</w:t>
            </w:r>
          </w:p>
        </w:tc>
        <w:tc>
          <w:tcPr>
            <w:tcW w:w="1236" w:type="dxa"/>
            <w:noWrap w:val="0"/>
            <w:vAlign w:val="center"/>
          </w:tcPr>
          <w:p w14:paraId="4677B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2B90C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2DA49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0437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57DA0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55161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7AFC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5812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预算调整率</w:t>
            </w:r>
          </w:p>
        </w:tc>
        <w:tc>
          <w:tcPr>
            <w:tcW w:w="1236" w:type="dxa"/>
            <w:noWrap w:val="0"/>
            <w:vAlign w:val="center"/>
          </w:tcPr>
          <w:p w14:paraId="0DA43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B73A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=0%</w:t>
            </w:r>
          </w:p>
        </w:tc>
        <w:tc>
          <w:tcPr>
            <w:tcW w:w="1238" w:type="dxa"/>
            <w:noWrap w:val="0"/>
            <w:vAlign w:val="center"/>
          </w:tcPr>
          <w:p w14:paraId="6E23D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=0%</w:t>
            </w:r>
          </w:p>
        </w:tc>
      </w:tr>
      <w:tr w14:paraId="247AD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058E0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435D1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1E619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预算执行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3B43C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预算执行率</w:t>
            </w:r>
          </w:p>
        </w:tc>
        <w:tc>
          <w:tcPr>
            <w:tcW w:w="1236" w:type="dxa"/>
            <w:noWrap w:val="0"/>
            <w:vAlign w:val="center"/>
          </w:tcPr>
          <w:p w14:paraId="02D99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2841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71E01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75C0B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64547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1C346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4571C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6CD92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结转结余率</w:t>
            </w:r>
          </w:p>
        </w:tc>
        <w:tc>
          <w:tcPr>
            <w:tcW w:w="1236" w:type="dxa"/>
            <w:noWrap w:val="0"/>
            <w:vAlign w:val="center"/>
          </w:tcPr>
          <w:p w14:paraId="157E0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4573A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=0%</w:t>
            </w:r>
          </w:p>
        </w:tc>
        <w:tc>
          <w:tcPr>
            <w:tcW w:w="1238" w:type="dxa"/>
            <w:noWrap w:val="0"/>
            <w:vAlign w:val="center"/>
          </w:tcPr>
          <w:p w14:paraId="0B656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=0%</w:t>
            </w:r>
          </w:p>
        </w:tc>
      </w:tr>
      <w:tr w14:paraId="4FEC9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513C4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456C3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34D9A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5D492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政府采购执行率</w:t>
            </w:r>
          </w:p>
        </w:tc>
        <w:tc>
          <w:tcPr>
            <w:tcW w:w="1236" w:type="dxa"/>
            <w:noWrap w:val="0"/>
            <w:vAlign w:val="center"/>
          </w:tcPr>
          <w:p w14:paraId="78338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73A9F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12D61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7DFC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077CA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64E75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77FCC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7E517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非税收入预算完成率</w:t>
            </w:r>
          </w:p>
        </w:tc>
        <w:tc>
          <w:tcPr>
            <w:tcW w:w="1236" w:type="dxa"/>
            <w:noWrap w:val="0"/>
            <w:vAlign w:val="center"/>
          </w:tcPr>
          <w:p w14:paraId="027A0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2C54E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05ACB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3D02B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28CF7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61385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管理效率</w:t>
            </w: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5413F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绩效管理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7BCA7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事前绩效评估完成率</w:t>
            </w:r>
          </w:p>
        </w:tc>
        <w:tc>
          <w:tcPr>
            <w:tcW w:w="1236" w:type="dxa"/>
            <w:noWrap w:val="0"/>
            <w:vAlign w:val="center"/>
          </w:tcPr>
          <w:p w14:paraId="30189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75D6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4FA5E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79A80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4AC48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218D5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6C47A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08AB5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绩效目标合理性</w:t>
            </w:r>
          </w:p>
        </w:tc>
        <w:tc>
          <w:tcPr>
            <w:tcW w:w="1236" w:type="dxa"/>
            <w:noWrap w:val="0"/>
            <w:vAlign w:val="center"/>
          </w:tcPr>
          <w:p w14:paraId="53F00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661E4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  <w:tc>
          <w:tcPr>
            <w:tcW w:w="1238" w:type="dxa"/>
            <w:noWrap w:val="0"/>
            <w:vAlign w:val="center"/>
          </w:tcPr>
          <w:p w14:paraId="58A96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</w:tr>
      <w:tr w14:paraId="28B6E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14ED4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11229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45846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586E1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绩效监控开展率</w:t>
            </w:r>
          </w:p>
        </w:tc>
        <w:tc>
          <w:tcPr>
            <w:tcW w:w="1236" w:type="dxa"/>
            <w:noWrap w:val="0"/>
            <w:vAlign w:val="center"/>
          </w:tcPr>
          <w:p w14:paraId="4E23A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A629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5311A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35C7E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3E3CB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69F4A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0A0E1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51983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绩效评价覆盖率</w:t>
            </w:r>
          </w:p>
        </w:tc>
        <w:tc>
          <w:tcPr>
            <w:tcW w:w="1236" w:type="dxa"/>
            <w:noWrap w:val="0"/>
            <w:vAlign w:val="center"/>
          </w:tcPr>
          <w:p w14:paraId="0BC7B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2E13F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3A7C7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0AF28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01CD5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1E7B8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71CA7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65FBD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评价结果应用率</w:t>
            </w:r>
          </w:p>
        </w:tc>
        <w:tc>
          <w:tcPr>
            <w:tcW w:w="1236" w:type="dxa"/>
            <w:noWrap w:val="0"/>
            <w:vAlign w:val="center"/>
          </w:tcPr>
          <w:p w14:paraId="780EE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44BF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7A1F5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 w14:paraId="552E2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77E18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5BEEA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6568B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资产管理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06138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资产管理制度健全性</w:t>
            </w:r>
          </w:p>
        </w:tc>
        <w:tc>
          <w:tcPr>
            <w:tcW w:w="1236" w:type="dxa"/>
            <w:noWrap w:val="0"/>
            <w:vAlign w:val="center"/>
          </w:tcPr>
          <w:p w14:paraId="27BE6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2E4C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  <w:tc>
          <w:tcPr>
            <w:tcW w:w="1238" w:type="dxa"/>
            <w:noWrap w:val="0"/>
            <w:vAlign w:val="center"/>
          </w:tcPr>
          <w:p w14:paraId="63727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</w:tr>
      <w:tr w14:paraId="4D9E1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6A303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0C5E3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05B04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34879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资产管理规范性</w:t>
            </w:r>
          </w:p>
        </w:tc>
        <w:tc>
          <w:tcPr>
            <w:tcW w:w="1236" w:type="dxa"/>
            <w:noWrap w:val="0"/>
            <w:vAlign w:val="center"/>
          </w:tcPr>
          <w:p w14:paraId="140D3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DD6D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018CB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523C1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4DA52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42EDF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51CDD2CD">
            <w:pPr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  <w:t>财务管理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6A418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财务管理制度健全性</w:t>
            </w:r>
          </w:p>
        </w:tc>
        <w:tc>
          <w:tcPr>
            <w:tcW w:w="1236" w:type="dxa"/>
            <w:noWrap w:val="0"/>
            <w:vAlign w:val="center"/>
          </w:tcPr>
          <w:p w14:paraId="63B86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3A142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  <w:tc>
          <w:tcPr>
            <w:tcW w:w="1238" w:type="dxa"/>
            <w:noWrap w:val="0"/>
            <w:vAlign w:val="center"/>
          </w:tcPr>
          <w:p w14:paraId="57D5E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</w:tr>
      <w:tr w14:paraId="4CFC4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08053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1EA3F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0B482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4ED58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会计核算规范性</w:t>
            </w:r>
          </w:p>
        </w:tc>
        <w:tc>
          <w:tcPr>
            <w:tcW w:w="1236" w:type="dxa"/>
            <w:noWrap w:val="0"/>
            <w:vAlign w:val="center"/>
          </w:tcPr>
          <w:p w14:paraId="532DF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2DE6C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59FAD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76AD1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58BC0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0F194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4BA7A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615AF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资金使用合规性</w:t>
            </w:r>
          </w:p>
        </w:tc>
        <w:tc>
          <w:tcPr>
            <w:tcW w:w="1236" w:type="dxa"/>
            <w:noWrap w:val="0"/>
            <w:vAlign w:val="center"/>
          </w:tcPr>
          <w:p w14:paraId="7AC15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1D945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合规</w:t>
            </w:r>
          </w:p>
        </w:tc>
        <w:tc>
          <w:tcPr>
            <w:tcW w:w="1238" w:type="dxa"/>
            <w:noWrap w:val="0"/>
            <w:vAlign w:val="center"/>
          </w:tcPr>
          <w:p w14:paraId="52C0C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合规</w:t>
            </w:r>
          </w:p>
        </w:tc>
      </w:tr>
      <w:tr w14:paraId="316F3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35C24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2666790C">
            <w:pPr>
              <w:keepNext w:val="0"/>
              <w:keepLines w:val="0"/>
              <w:pageBreakBefore w:val="0"/>
              <w:widowControl/>
              <w:tabs>
                <w:tab w:val="left" w:pos="3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履职效能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 w14:paraId="22999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015A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保护与合理利用土地、矿产资源等自然资源，规范全县国土资源管理秩序</w:t>
            </w:r>
          </w:p>
        </w:tc>
        <w:tc>
          <w:tcPr>
            <w:tcW w:w="1236" w:type="dxa"/>
            <w:noWrap w:val="0"/>
            <w:vAlign w:val="center"/>
          </w:tcPr>
          <w:p w14:paraId="049B2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14451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2AA42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22A92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61730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4AE9B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4F7FD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37331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优化配置国土资源，规范国土资源权属管理，保护全县耕地，节约集约利用土地资源和提供全县土地利用各种数据</w:t>
            </w:r>
          </w:p>
        </w:tc>
        <w:tc>
          <w:tcPr>
            <w:tcW w:w="1236" w:type="dxa"/>
            <w:noWrap w:val="0"/>
            <w:vAlign w:val="center"/>
          </w:tcPr>
          <w:p w14:paraId="66DD7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63C88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优化</w:t>
            </w:r>
          </w:p>
        </w:tc>
        <w:tc>
          <w:tcPr>
            <w:tcW w:w="1238" w:type="dxa"/>
            <w:noWrap w:val="0"/>
            <w:vAlign w:val="center"/>
          </w:tcPr>
          <w:p w14:paraId="6C44B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优化</w:t>
            </w:r>
          </w:p>
        </w:tc>
      </w:tr>
      <w:tr w14:paraId="29027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52FD6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365A6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68850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5E597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规范自然资源市场秩序</w:t>
            </w:r>
          </w:p>
        </w:tc>
        <w:tc>
          <w:tcPr>
            <w:tcW w:w="1236" w:type="dxa"/>
            <w:noWrap w:val="0"/>
            <w:vAlign w:val="center"/>
          </w:tcPr>
          <w:p w14:paraId="0679B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64D3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7B7BE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0023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62209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7DF1B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5C650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7A67D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履行全民所有土地、矿产、森林、草地、湿地、水等自然资源所有者职责和所有国土空间用途管制职责</w:t>
            </w:r>
          </w:p>
        </w:tc>
        <w:tc>
          <w:tcPr>
            <w:tcW w:w="1236" w:type="dxa"/>
            <w:noWrap w:val="0"/>
            <w:vAlign w:val="center"/>
          </w:tcPr>
          <w:p w14:paraId="697B6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CE74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 w14:paraId="71F01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 w14:paraId="694C4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485E9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0F8BD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社会效应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 w14:paraId="308AB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社会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效益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160BA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对自然资源利用水平的提升程度</w:t>
            </w:r>
          </w:p>
        </w:tc>
        <w:tc>
          <w:tcPr>
            <w:tcW w:w="1236" w:type="dxa"/>
            <w:noWrap w:val="0"/>
            <w:vAlign w:val="center"/>
          </w:tcPr>
          <w:p w14:paraId="16EAB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599D4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明显</w:t>
            </w:r>
          </w:p>
        </w:tc>
        <w:tc>
          <w:tcPr>
            <w:tcW w:w="1238" w:type="dxa"/>
            <w:noWrap w:val="0"/>
            <w:vAlign w:val="center"/>
          </w:tcPr>
          <w:p w14:paraId="03AD6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明显</w:t>
            </w:r>
          </w:p>
        </w:tc>
      </w:tr>
      <w:tr w14:paraId="02094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4AECC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0BAA4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20685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生态效益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63B69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对加强资源保护的影响程度</w:t>
            </w:r>
          </w:p>
        </w:tc>
        <w:tc>
          <w:tcPr>
            <w:tcW w:w="1236" w:type="dxa"/>
            <w:noWrap w:val="0"/>
            <w:vAlign w:val="center"/>
          </w:tcPr>
          <w:p w14:paraId="00D46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2EBD0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明显</w:t>
            </w:r>
          </w:p>
        </w:tc>
        <w:tc>
          <w:tcPr>
            <w:tcW w:w="1238" w:type="dxa"/>
            <w:noWrap w:val="0"/>
            <w:vAlign w:val="center"/>
          </w:tcPr>
          <w:p w14:paraId="31EF9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明显</w:t>
            </w:r>
          </w:p>
        </w:tc>
      </w:tr>
      <w:tr w14:paraId="6409D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3A8A6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 w14:paraId="72ACF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可持续</w:t>
            </w:r>
          </w:p>
          <w:p w14:paraId="6CD0E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发展能力</w:t>
            </w: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33C09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体制机制改革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4CAA0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服务体制改革成效</w:t>
            </w:r>
          </w:p>
        </w:tc>
        <w:tc>
          <w:tcPr>
            <w:tcW w:w="1236" w:type="dxa"/>
            <w:noWrap w:val="0"/>
            <w:vAlign w:val="center"/>
          </w:tcPr>
          <w:p w14:paraId="56BB9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261A9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  <w:tc>
          <w:tcPr>
            <w:tcW w:w="1238" w:type="dxa"/>
            <w:noWrap w:val="0"/>
            <w:vAlign w:val="center"/>
          </w:tcPr>
          <w:p w14:paraId="5E78C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</w:tr>
      <w:tr w14:paraId="0915D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69153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701E7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74A67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1C960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行政管理体制</w:t>
            </w:r>
          </w:p>
          <w:p w14:paraId="7319D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改革成效</w:t>
            </w:r>
          </w:p>
        </w:tc>
        <w:tc>
          <w:tcPr>
            <w:tcW w:w="1236" w:type="dxa"/>
            <w:noWrap w:val="0"/>
            <w:vAlign w:val="center"/>
          </w:tcPr>
          <w:p w14:paraId="45CE9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4A242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  <w:tc>
          <w:tcPr>
            <w:tcW w:w="1238" w:type="dxa"/>
            <w:noWrap w:val="0"/>
            <w:vAlign w:val="center"/>
          </w:tcPr>
          <w:p w14:paraId="138F1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</w:tr>
      <w:tr w14:paraId="6F740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62F86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5F15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 w14:paraId="68CF5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人才支撑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488D6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业务学习与培训</w:t>
            </w:r>
          </w:p>
          <w:p w14:paraId="5B1E4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完成率</w:t>
            </w:r>
          </w:p>
        </w:tc>
        <w:tc>
          <w:tcPr>
            <w:tcW w:w="1236" w:type="dxa"/>
            <w:noWrap w:val="0"/>
            <w:vAlign w:val="center"/>
          </w:tcPr>
          <w:p w14:paraId="4E2E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708F4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11AEF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</w:tr>
      <w:tr w14:paraId="2EDA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5ABA7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2ED1E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6F7E1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7DE3E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干部队伍体系</w:t>
            </w:r>
          </w:p>
          <w:p w14:paraId="0BB02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建设规划情况</w:t>
            </w:r>
          </w:p>
        </w:tc>
        <w:tc>
          <w:tcPr>
            <w:tcW w:w="1236" w:type="dxa"/>
            <w:noWrap w:val="0"/>
            <w:vAlign w:val="center"/>
          </w:tcPr>
          <w:p w14:paraId="3925A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38FDB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04E09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</w:tr>
      <w:tr w14:paraId="011BB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68242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1AB22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 w14:paraId="5DA21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 w14:paraId="66502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高学历、高层次</w:t>
            </w:r>
          </w:p>
          <w:p w14:paraId="02E6D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人才储备率</w:t>
            </w:r>
          </w:p>
        </w:tc>
        <w:tc>
          <w:tcPr>
            <w:tcW w:w="1236" w:type="dxa"/>
            <w:noWrap w:val="0"/>
            <w:vAlign w:val="center"/>
          </w:tcPr>
          <w:p w14:paraId="5008A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3D885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≥98%</w:t>
            </w:r>
          </w:p>
        </w:tc>
        <w:tc>
          <w:tcPr>
            <w:tcW w:w="1238" w:type="dxa"/>
            <w:noWrap w:val="0"/>
            <w:vAlign w:val="center"/>
          </w:tcPr>
          <w:p w14:paraId="605C5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≥98%</w:t>
            </w:r>
          </w:p>
        </w:tc>
      </w:tr>
      <w:tr w14:paraId="32CD8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029FE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 w14:paraId="15BC0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 w14:paraId="03B8C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科技支撑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7C499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信息化建设情况</w:t>
            </w:r>
          </w:p>
        </w:tc>
        <w:tc>
          <w:tcPr>
            <w:tcW w:w="1236" w:type="dxa"/>
            <w:noWrap w:val="0"/>
            <w:vAlign w:val="center"/>
          </w:tcPr>
          <w:p w14:paraId="4B902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2902C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 w14:paraId="7F5BA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</w:tr>
      <w:tr w14:paraId="26AA6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 w14:paraId="125D6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noWrap w:val="0"/>
            <w:vAlign w:val="center"/>
          </w:tcPr>
          <w:p w14:paraId="4A2F3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满意度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 w14:paraId="4E5EA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服务对象满意度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 w14:paraId="5F2F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群众满意度</w:t>
            </w:r>
          </w:p>
        </w:tc>
        <w:tc>
          <w:tcPr>
            <w:tcW w:w="1236" w:type="dxa"/>
            <w:noWrap w:val="0"/>
            <w:vAlign w:val="center"/>
          </w:tcPr>
          <w:p w14:paraId="01FA0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614B8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≥9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%</w:t>
            </w:r>
          </w:p>
        </w:tc>
        <w:tc>
          <w:tcPr>
            <w:tcW w:w="1238" w:type="dxa"/>
            <w:noWrap w:val="0"/>
            <w:vAlign w:val="center"/>
          </w:tcPr>
          <w:p w14:paraId="2ED06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≥9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%</w:t>
            </w:r>
          </w:p>
        </w:tc>
      </w:tr>
      <w:tr w14:paraId="5ACF0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6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1CF27A7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偏差大或</w:t>
            </w:r>
          </w:p>
          <w:p w14:paraId="0040E78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目标未完成</w:t>
            </w:r>
          </w:p>
          <w:p w14:paraId="34204FF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原因分析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 w14:paraId="7DD1D93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部分绩效目标设置不够合理。实际完成成与年初目标值差距较大，由于在编制绩效目标时，相关业务处室无法明确下一年度具体工作开展情况，故而保守估计目标，在实际执行过程中，提高工作质量，导致实际完成情况较高。</w:t>
            </w:r>
          </w:p>
        </w:tc>
      </w:tr>
      <w:tr w14:paraId="30663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6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14FC5D2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改进措施及</w:t>
            </w:r>
          </w:p>
          <w:p w14:paraId="7C687FC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结果应用方案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 w14:paraId="74DE2E9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将业务工作的谋划时间与绩效目标设置时间相统一。我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部分工作任务取决于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上级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重点任务分工，业务层面的工作布置通常在当年年初，而绩效目标的设置在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上半年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，会导致在目标设置时无法科学合理的预计。</w:t>
            </w:r>
          </w:p>
        </w:tc>
      </w:tr>
    </w:tbl>
    <w:p w14:paraId="0F869F8A">
      <w:pPr>
        <w:widowControl/>
        <w:rPr>
          <w:rFonts w:ascii="仿宋_GB2312" w:hAnsi="宋体" w:eastAsia="仿宋_GB2312"/>
          <w:kern w:val="0"/>
        </w:rPr>
      </w:pPr>
      <w:r>
        <w:rPr>
          <w:rFonts w:hint="eastAsia" w:ascii="仿宋_GB2312" w:hAnsi="宋体" w:eastAsia="仿宋_GB2312" w:cs="仿宋_GB2312"/>
          <w:kern w:val="0"/>
        </w:rPr>
        <w:t>备注：</w:t>
      </w:r>
    </w:p>
    <w:p w14:paraId="204E6204">
      <w:pPr>
        <w:widowControl/>
        <w:ind w:firstLine="420" w:firstLineChars="200"/>
        <w:rPr>
          <w:rFonts w:ascii="仿宋_GB2312" w:hAnsi="宋体" w:eastAsia="仿宋_GB2312"/>
          <w:kern w:val="0"/>
        </w:rPr>
      </w:pPr>
      <w:r>
        <w:rPr>
          <w:rFonts w:ascii="仿宋_GB2312" w:hAnsi="宋体" w:eastAsia="仿宋_GB2312" w:cs="仿宋_GB2312"/>
          <w:kern w:val="0"/>
        </w:rPr>
        <w:t>1.</w:t>
      </w:r>
      <w:r>
        <w:rPr>
          <w:rFonts w:hint="eastAsia" w:ascii="仿宋_GB2312" w:hAnsi="宋体" w:eastAsia="仿宋_GB2312" w:cs="仿宋_GB2312"/>
          <w:kern w:val="0"/>
        </w:rPr>
        <w:t>预算执行情况口径：预算数为调整后财政资金总额（包括上年结余结转），执行数为资金使用单位财政资金实际支出数。</w:t>
      </w:r>
    </w:p>
    <w:p w14:paraId="56643D0A">
      <w:pPr>
        <w:ind w:firstLine="420" w:firstLineChars="200"/>
        <w:jc w:val="left"/>
        <w:rPr>
          <w:rFonts w:hint="eastAsia" w:ascii="仿宋_GB2312" w:hAnsi="宋体" w:eastAsia="仿宋_GB2312" w:cs="仿宋_GB2312"/>
          <w:kern w:val="0"/>
        </w:rPr>
      </w:pPr>
      <w:r>
        <w:rPr>
          <w:rFonts w:hint="eastAsia" w:ascii="仿宋_GB2312" w:hAnsi="宋体" w:eastAsia="仿宋_GB2312" w:cs="仿宋_GB2312"/>
          <w:kern w:val="0"/>
          <w:lang w:val="en-US" w:eastAsia="zh-CN"/>
        </w:rPr>
        <w:t>2</w:t>
      </w:r>
      <w:r>
        <w:rPr>
          <w:rFonts w:ascii="仿宋_GB2312" w:hAnsi="宋体" w:eastAsia="仿宋_GB2312" w:cs="仿宋_GB2312"/>
          <w:kern w:val="0"/>
        </w:rPr>
        <w:t>.</w:t>
      </w:r>
      <w:r>
        <w:rPr>
          <w:rFonts w:hint="eastAsia" w:ascii="仿宋_GB2312" w:hAnsi="宋体" w:eastAsia="仿宋_GB2312" w:cs="仿宋_GB2312"/>
          <w:kern w:val="0"/>
        </w:rPr>
        <w:t>基于经济性和必要性等因素考虑，满意度指标暂可不作为必评指标。</w:t>
      </w:r>
    </w:p>
    <w:p w14:paraId="2D1DB3F3">
      <w:pPr>
        <w:jc w:val="left"/>
        <w:rPr>
          <w:rFonts w:hint="default" w:ascii="仿宋_GB2312" w:hAnsi="宋体" w:eastAsia="仿宋_GB2312" w:cs="仿宋_GB2312"/>
          <w:kern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DA98B8"/>
    <w:multiLevelType w:val="singleLevel"/>
    <w:tmpl w:val="0DDA98B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mNzU2YzYyMmNhMThmODFhZDVhODY1Zjc4NDAwY2MifQ=="/>
  </w:docVars>
  <w:rsids>
    <w:rsidRoot w:val="00000000"/>
    <w:rsid w:val="00767FD7"/>
    <w:rsid w:val="008D313A"/>
    <w:rsid w:val="01607A86"/>
    <w:rsid w:val="020B7951"/>
    <w:rsid w:val="02581525"/>
    <w:rsid w:val="02F079B0"/>
    <w:rsid w:val="02FC0103"/>
    <w:rsid w:val="02FE2232"/>
    <w:rsid w:val="03223064"/>
    <w:rsid w:val="037E320E"/>
    <w:rsid w:val="03870314"/>
    <w:rsid w:val="03D96696"/>
    <w:rsid w:val="03EB48A1"/>
    <w:rsid w:val="04365896"/>
    <w:rsid w:val="04955136"/>
    <w:rsid w:val="04A36ADB"/>
    <w:rsid w:val="04C122A2"/>
    <w:rsid w:val="04C44C50"/>
    <w:rsid w:val="04C8641A"/>
    <w:rsid w:val="054933A7"/>
    <w:rsid w:val="063C5987"/>
    <w:rsid w:val="065E59F3"/>
    <w:rsid w:val="06897E1B"/>
    <w:rsid w:val="068C79F0"/>
    <w:rsid w:val="06A64F55"/>
    <w:rsid w:val="06D05B2E"/>
    <w:rsid w:val="06FA704F"/>
    <w:rsid w:val="079E1578"/>
    <w:rsid w:val="0842480A"/>
    <w:rsid w:val="08444A26"/>
    <w:rsid w:val="08700055"/>
    <w:rsid w:val="08892439"/>
    <w:rsid w:val="08986B20"/>
    <w:rsid w:val="08BC0A60"/>
    <w:rsid w:val="08BD6586"/>
    <w:rsid w:val="08FC0E5C"/>
    <w:rsid w:val="090E6DE2"/>
    <w:rsid w:val="09385C0D"/>
    <w:rsid w:val="098A46BA"/>
    <w:rsid w:val="0A0E3959"/>
    <w:rsid w:val="0A5D3B7D"/>
    <w:rsid w:val="0A99092D"/>
    <w:rsid w:val="0AF1188D"/>
    <w:rsid w:val="0C7358DA"/>
    <w:rsid w:val="0CDB347F"/>
    <w:rsid w:val="0D7C6A10"/>
    <w:rsid w:val="0D9E037E"/>
    <w:rsid w:val="0DD73C46"/>
    <w:rsid w:val="0E0A5DCA"/>
    <w:rsid w:val="0E213113"/>
    <w:rsid w:val="0E511C4A"/>
    <w:rsid w:val="0E912047"/>
    <w:rsid w:val="0E9C09EC"/>
    <w:rsid w:val="0ECE61B7"/>
    <w:rsid w:val="0F3155D8"/>
    <w:rsid w:val="0F457103"/>
    <w:rsid w:val="0FC14BAE"/>
    <w:rsid w:val="0FE73EE9"/>
    <w:rsid w:val="105A07A8"/>
    <w:rsid w:val="106C0FC0"/>
    <w:rsid w:val="1193257A"/>
    <w:rsid w:val="11E132E5"/>
    <w:rsid w:val="11FE3E97"/>
    <w:rsid w:val="123277D8"/>
    <w:rsid w:val="12372F05"/>
    <w:rsid w:val="13C22CA3"/>
    <w:rsid w:val="145B2466"/>
    <w:rsid w:val="16580917"/>
    <w:rsid w:val="16B9038D"/>
    <w:rsid w:val="170F60AD"/>
    <w:rsid w:val="18AB01A9"/>
    <w:rsid w:val="18B54F2E"/>
    <w:rsid w:val="19037FE5"/>
    <w:rsid w:val="19FE07AD"/>
    <w:rsid w:val="1A2024D1"/>
    <w:rsid w:val="1B5C1C2F"/>
    <w:rsid w:val="1B852F33"/>
    <w:rsid w:val="1B917B2A"/>
    <w:rsid w:val="1BE7599C"/>
    <w:rsid w:val="1C842BDA"/>
    <w:rsid w:val="1C8651B5"/>
    <w:rsid w:val="1D03018F"/>
    <w:rsid w:val="1D2D3883"/>
    <w:rsid w:val="1E6C03DB"/>
    <w:rsid w:val="1F5C3FAB"/>
    <w:rsid w:val="200D799B"/>
    <w:rsid w:val="2043516B"/>
    <w:rsid w:val="205630F0"/>
    <w:rsid w:val="211278CE"/>
    <w:rsid w:val="21521B0A"/>
    <w:rsid w:val="217F21D3"/>
    <w:rsid w:val="21933E57"/>
    <w:rsid w:val="22EA3DB7"/>
    <w:rsid w:val="231132FF"/>
    <w:rsid w:val="23151041"/>
    <w:rsid w:val="235D6544"/>
    <w:rsid w:val="239F6B5C"/>
    <w:rsid w:val="23D8508D"/>
    <w:rsid w:val="23DA7B95"/>
    <w:rsid w:val="2435126F"/>
    <w:rsid w:val="24F47B79"/>
    <w:rsid w:val="24FF4416"/>
    <w:rsid w:val="259412D6"/>
    <w:rsid w:val="25CD32C5"/>
    <w:rsid w:val="264F486A"/>
    <w:rsid w:val="26B36F94"/>
    <w:rsid w:val="27090EBD"/>
    <w:rsid w:val="271330C5"/>
    <w:rsid w:val="27743E5C"/>
    <w:rsid w:val="278E0749"/>
    <w:rsid w:val="28CF79BB"/>
    <w:rsid w:val="28F45F17"/>
    <w:rsid w:val="29520CA7"/>
    <w:rsid w:val="29660DFE"/>
    <w:rsid w:val="298B6D36"/>
    <w:rsid w:val="29932CBF"/>
    <w:rsid w:val="29D548A8"/>
    <w:rsid w:val="2A1B425A"/>
    <w:rsid w:val="2A8A27BF"/>
    <w:rsid w:val="2A99265E"/>
    <w:rsid w:val="2ADD5CFA"/>
    <w:rsid w:val="2BE91676"/>
    <w:rsid w:val="2C792640"/>
    <w:rsid w:val="2CB27900"/>
    <w:rsid w:val="2D0637A8"/>
    <w:rsid w:val="2D236108"/>
    <w:rsid w:val="2D2E0549"/>
    <w:rsid w:val="2D5B7F98"/>
    <w:rsid w:val="2D5E35E4"/>
    <w:rsid w:val="2DF126AA"/>
    <w:rsid w:val="2E4B2366"/>
    <w:rsid w:val="2E635821"/>
    <w:rsid w:val="2EE31FF3"/>
    <w:rsid w:val="2F9B714F"/>
    <w:rsid w:val="30012022"/>
    <w:rsid w:val="30177B51"/>
    <w:rsid w:val="302A3C52"/>
    <w:rsid w:val="307C26FF"/>
    <w:rsid w:val="30A457B2"/>
    <w:rsid w:val="314550A0"/>
    <w:rsid w:val="3175714F"/>
    <w:rsid w:val="31F536EB"/>
    <w:rsid w:val="3276317E"/>
    <w:rsid w:val="328C0BF4"/>
    <w:rsid w:val="32BA008D"/>
    <w:rsid w:val="32F92E0C"/>
    <w:rsid w:val="333E1EEE"/>
    <w:rsid w:val="33D4646F"/>
    <w:rsid w:val="33D82591"/>
    <w:rsid w:val="343D0407"/>
    <w:rsid w:val="3542559A"/>
    <w:rsid w:val="35633E8E"/>
    <w:rsid w:val="356B4AF0"/>
    <w:rsid w:val="357065AB"/>
    <w:rsid w:val="35B069A7"/>
    <w:rsid w:val="361909F0"/>
    <w:rsid w:val="36F56D67"/>
    <w:rsid w:val="370D25AD"/>
    <w:rsid w:val="37263D73"/>
    <w:rsid w:val="3751106F"/>
    <w:rsid w:val="38801DA4"/>
    <w:rsid w:val="388A1731"/>
    <w:rsid w:val="39374914"/>
    <w:rsid w:val="394E48E7"/>
    <w:rsid w:val="3986639D"/>
    <w:rsid w:val="3B5E2A01"/>
    <w:rsid w:val="3B6C15C2"/>
    <w:rsid w:val="3BAE3A67"/>
    <w:rsid w:val="3BFA097C"/>
    <w:rsid w:val="3CA134EE"/>
    <w:rsid w:val="3CA76388"/>
    <w:rsid w:val="3CB52AF5"/>
    <w:rsid w:val="3D3574F5"/>
    <w:rsid w:val="3D3E0D3C"/>
    <w:rsid w:val="3D475E43"/>
    <w:rsid w:val="3D9F5C7F"/>
    <w:rsid w:val="3E010AE2"/>
    <w:rsid w:val="3E1D6BA4"/>
    <w:rsid w:val="3E2A13B5"/>
    <w:rsid w:val="3E794542"/>
    <w:rsid w:val="3EE37DED"/>
    <w:rsid w:val="3FE060DB"/>
    <w:rsid w:val="405D6CA9"/>
    <w:rsid w:val="408F4468"/>
    <w:rsid w:val="40DF2652"/>
    <w:rsid w:val="40E51BFB"/>
    <w:rsid w:val="41B45A71"/>
    <w:rsid w:val="430B346F"/>
    <w:rsid w:val="430D1C51"/>
    <w:rsid w:val="43784FA8"/>
    <w:rsid w:val="4407632C"/>
    <w:rsid w:val="4450382F"/>
    <w:rsid w:val="44A26055"/>
    <w:rsid w:val="44CD6D00"/>
    <w:rsid w:val="456A184E"/>
    <w:rsid w:val="457B4137"/>
    <w:rsid w:val="45965562"/>
    <w:rsid w:val="45AC0F39"/>
    <w:rsid w:val="45E05087"/>
    <w:rsid w:val="46BE6B2D"/>
    <w:rsid w:val="46F02F69"/>
    <w:rsid w:val="476A10AC"/>
    <w:rsid w:val="477472E5"/>
    <w:rsid w:val="47DE55F6"/>
    <w:rsid w:val="488A12DA"/>
    <w:rsid w:val="48F3018F"/>
    <w:rsid w:val="48F6071D"/>
    <w:rsid w:val="49090450"/>
    <w:rsid w:val="49746212"/>
    <w:rsid w:val="49E35145"/>
    <w:rsid w:val="4A365275"/>
    <w:rsid w:val="4B137364"/>
    <w:rsid w:val="4B39226A"/>
    <w:rsid w:val="4BC468B1"/>
    <w:rsid w:val="4C177328"/>
    <w:rsid w:val="4C4243A5"/>
    <w:rsid w:val="4C4332C5"/>
    <w:rsid w:val="4C596BC6"/>
    <w:rsid w:val="4CB429A6"/>
    <w:rsid w:val="4D616AAD"/>
    <w:rsid w:val="4D6B4B5C"/>
    <w:rsid w:val="4D706CF0"/>
    <w:rsid w:val="4E8439AD"/>
    <w:rsid w:val="4EBE7F2F"/>
    <w:rsid w:val="4EEC05F8"/>
    <w:rsid w:val="4F0A0EE7"/>
    <w:rsid w:val="4F575970"/>
    <w:rsid w:val="4F974A08"/>
    <w:rsid w:val="4FAF713C"/>
    <w:rsid w:val="4FE92D8A"/>
    <w:rsid w:val="5043249A"/>
    <w:rsid w:val="509305CD"/>
    <w:rsid w:val="5120208F"/>
    <w:rsid w:val="51646B6C"/>
    <w:rsid w:val="52CB6777"/>
    <w:rsid w:val="533B6FC9"/>
    <w:rsid w:val="53566988"/>
    <w:rsid w:val="53C647CB"/>
    <w:rsid w:val="541C54DC"/>
    <w:rsid w:val="54493DF7"/>
    <w:rsid w:val="55180399"/>
    <w:rsid w:val="558F68C7"/>
    <w:rsid w:val="55D70B68"/>
    <w:rsid w:val="560C332E"/>
    <w:rsid w:val="571132F2"/>
    <w:rsid w:val="575651A9"/>
    <w:rsid w:val="57792C45"/>
    <w:rsid w:val="57E53298"/>
    <w:rsid w:val="58CA7BFC"/>
    <w:rsid w:val="58F44C79"/>
    <w:rsid w:val="594C381A"/>
    <w:rsid w:val="599B4194"/>
    <w:rsid w:val="59C72E6F"/>
    <w:rsid w:val="5A6166AA"/>
    <w:rsid w:val="5B067BBF"/>
    <w:rsid w:val="5CAC4897"/>
    <w:rsid w:val="5CAD4030"/>
    <w:rsid w:val="5D821BCD"/>
    <w:rsid w:val="5DA6050C"/>
    <w:rsid w:val="5DF43D79"/>
    <w:rsid w:val="5F8255C5"/>
    <w:rsid w:val="5F9F5213"/>
    <w:rsid w:val="5FCC24AC"/>
    <w:rsid w:val="5FCD298E"/>
    <w:rsid w:val="5FF44950"/>
    <w:rsid w:val="6045710B"/>
    <w:rsid w:val="60FD48E7"/>
    <w:rsid w:val="61A03D31"/>
    <w:rsid w:val="61B2747F"/>
    <w:rsid w:val="61C57C72"/>
    <w:rsid w:val="6225687B"/>
    <w:rsid w:val="62782E5E"/>
    <w:rsid w:val="62943029"/>
    <w:rsid w:val="62D67D67"/>
    <w:rsid w:val="62E0001C"/>
    <w:rsid w:val="62E8563F"/>
    <w:rsid w:val="6408782B"/>
    <w:rsid w:val="644D3E0F"/>
    <w:rsid w:val="64F34037"/>
    <w:rsid w:val="65A166C8"/>
    <w:rsid w:val="65DD6A95"/>
    <w:rsid w:val="66990C0E"/>
    <w:rsid w:val="66AE6FB7"/>
    <w:rsid w:val="66C67529"/>
    <w:rsid w:val="672D4610"/>
    <w:rsid w:val="68787B79"/>
    <w:rsid w:val="68DF28C4"/>
    <w:rsid w:val="693423DD"/>
    <w:rsid w:val="694A4441"/>
    <w:rsid w:val="6983665E"/>
    <w:rsid w:val="69D1246D"/>
    <w:rsid w:val="6A3F7D1E"/>
    <w:rsid w:val="6A5B1FD5"/>
    <w:rsid w:val="6A6D03E7"/>
    <w:rsid w:val="6A7C687C"/>
    <w:rsid w:val="6B3E76AB"/>
    <w:rsid w:val="6B955868"/>
    <w:rsid w:val="6BB562F5"/>
    <w:rsid w:val="6BBA3B00"/>
    <w:rsid w:val="6BC404DB"/>
    <w:rsid w:val="6C101972"/>
    <w:rsid w:val="6CBB24A6"/>
    <w:rsid w:val="6CC80FE3"/>
    <w:rsid w:val="6CFA7F2C"/>
    <w:rsid w:val="6D106725"/>
    <w:rsid w:val="6D667836"/>
    <w:rsid w:val="6DED0C6F"/>
    <w:rsid w:val="6DEE0170"/>
    <w:rsid w:val="6E1B17FF"/>
    <w:rsid w:val="6E4B16E8"/>
    <w:rsid w:val="6E9F2B3A"/>
    <w:rsid w:val="6EED7D49"/>
    <w:rsid w:val="6EF410D7"/>
    <w:rsid w:val="6F0A08FB"/>
    <w:rsid w:val="6F6D2C38"/>
    <w:rsid w:val="71175551"/>
    <w:rsid w:val="712A5284"/>
    <w:rsid w:val="71C72AD3"/>
    <w:rsid w:val="723B701D"/>
    <w:rsid w:val="724F4877"/>
    <w:rsid w:val="729B7ABC"/>
    <w:rsid w:val="72F5541E"/>
    <w:rsid w:val="731143AC"/>
    <w:rsid w:val="73253A09"/>
    <w:rsid w:val="734E4B2E"/>
    <w:rsid w:val="73A330CC"/>
    <w:rsid w:val="73C13552"/>
    <w:rsid w:val="740D49E9"/>
    <w:rsid w:val="74A95327"/>
    <w:rsid w:val="754E350B"/>
    <w:rsid w:val="75FC71BC"/>
    <w:rsid w:val="770519A8"/>
    <w:rsid w:val="774E15A1"/>
    <w:rsid w:val="77787005"/>
    <w:rsid w:val="777B00F4"/>
    <w:rsid w:val="77AA0378"/>
    <w:rsid w:val="77D623E8"/>
    <w:rsid w:val="77E872FF"/>
    <w:rsid w:val="77F625AE"/>
    <w:rsid w:val="77FB1458"/>
    <w:rsid w:val="78066600"/>
    <w:rsid w:val="78964FAD"/>
    <w:rsid w:val="794D436B"/>
    <w:rsid w:val="797F3C93"/>
    <w:rsid w:val="79856DD0"/>
    <w:rsid w:val="79FE105C"/>
    <w:rsid w:val="7A5B64AE"/>
    <w:rsid w:val="7B072192"/>
    <w:rsid w:val="7B353C3B"/>
    <w:rsid w:val="7BA94FF8"/>
    <w:rsid w:val="7C06069C"/>
    <w:rsid w:val="7C142DB9"/>
    <w:rsid w:val="7CA12173"/>
    <w:rsid w:val="7CA51C63"/>
    <w:rsid w:val="7D050953"/>
    <w:rsid w:val="7DD86068"/>
    <w:rsid w:val="7DF32EA2"/>
    <w:rsid w:val="7F1C1F84"/>
    <w:rsid w:val="7F671451"/>
    <w:rsid w:val="7F74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847</Words>
  <Characters>972</Characters>
  <Lines>0</Lines>
  <Paragraphs>0</Paragraphs>
  <TotalTime>1</TotalTime>
  <ScaleCrop>false</ScaleCrop>
  <LinksUpToDate>false</LinksUpToDate>
  <CharactersWithSpaces>1010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2022-03-09T02:13:00Z</dcterms:created>
  <dc:creator>Administrator</dc:creator>
  <cp:lastModifiedBy>ditty</cp:lastModifiedBy>
  <cp:lastPrinted>2025-05-16T09:10:00Z</cp:lastPrinted>
  <dcterms:modified xsi:type="dcterms:W3CDTF">2026-05-26T04:07:00Z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78DCBA2C2BB54EADA4FC37BCD13C1697</vt:lpwstr>
  </property>
  <property fmtid="{D5CDD505-2E9C-101B-9397-08002B2CF9AE}" pid="4" name="KSOTemplateDocerSaveRecord">
    <vt:lpwstr>eyJoZGlkIjoiOWVmNzU2YzYyMmNhMThmODFhZDVhODY1Zjc4NDAwY2MiLCJ1c2VySWQiOiI0MzU0NjUwMzAifQ==</vt:lpwstr>
  </property>
</Properties>
</file>