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72" w:rsidRDefault="00243172">
      <w:pPr>
        <w:jc w:val="center"/>
        <w:rPr>
          <w:rFonts w:ascii="宋体"/>
          <w:sz w:val="36"/>
          <w:szCs w:val="36"/>
        </w:rPr>
      </w:pPr>
      <w:bookmarkStart w:id="0" w:name="_GoBack"/>
      <w:bookmarkEnd w:id="0"/>
    </w:p>
    <w:p w:rsidR="00243172" w:rsidRDefault="009739C6">
      <w:pPr>
        <w:jc w:val="center"/>
        <w:rPr>
          <w:rFonts w:ascii="宋体"/>
          <w:sz w:val="36"/>
          <w:szCs w:val="36"/>
        </w:rPr>
      </w:pPr>
      <w:r>
        <w:rPr>
          <w:rFonts w:ascii="宋体" w:hAnsi="宋体" w:hint="eastAsia"/>
          <w:sz w:val="36"/>
          <w:szCs w:val="36"/>
        </w:rPr>
        <w:t>财政项目绩效评价自评报告</w:t>
      </w:r>
    </w:p>
    <w:p w:rsidR="00243172" w:rsidRDefault="00243172">
      <w:pPr>
        <w:rPr>
          <w:sz w:val="30"/>
          <w:szCs w:val="30"/>
          <w:u w:val="single"/>
        </w:rPr>
      </w:pPr>
    </w:p>
    <w:p w:rsidR="00243172" w:rsidRDefault="009739C6">
      <w:pPr>
        <w:rPr>
          <w:sz w:val="30"/>
          <w:szCs w:val="30"/>
          <w:u w:val="single"/>
        </w:rPr>
      </w:pPr>
      <w:r>
        <w:rPr>
          <w:rFonts w:hint="eastAsia"/>
          <w:sz w:val="30"/>
          <w:szCs w:val="30"/>
        </w:rPr>
        <w:t>项目名称：</w:t>
      </w:r>
      <w:r>
        <w:rPr>
          <w:sz w:val="30"/>
          <w:szCs w:val="30"/>
          <w:u w:val="single"/>
        </w:rPr>
        <w:t xml:space="preserve"> 20</w:t>
      </w:r>
      <w:r>
        <w:rPr>
          <w:rFonts w:hint="eastAsia"/>
          <w:sz w:val="30"/>
          <w:szCs w:val="30"/>
          <w:u w:val="single"/>
        </w:rPr>
        <w:t>21</w:t>
      </w:r>
      <w:r>
        <w:rPr>
          <w:rFonts w:hint="eastAsia"/>
          <w:sz w:val="30"/>
          <w:szCs w:val="30"/>
          <w:u w:val="single"/>
        </w:rPr>
        <w:t>年嘉鱼县自然资源和规划局部门预算整体支出</w:t>
      </w:r>
    </w:p>
    <w:p w:rsidR="00243172" w:rsidRDefault="00243172">
      <w:pPr>
        <w:rPr>
          <w:sz w:val="30"/>
          <w:szCs w:val="30"/>
        </w:rPr>
      </w:pPr>
    </w:p>
    <w:p w:rsidR="00243172" w:rsidRDefault="009739C6">
      <w:pPr>
        <w:rPr>
          <w:sz w:val="30"/>
          <w:szCs w:val="30"/>
          <w:u w:val="single"/>
        </w:rPr>
      </w:pPr>
      <w:r>
        <w:rPr>
          <w:rFonts w:hint="eastAsia"/>
          <w:sz w:val="30"/>
          <w:szCs w:val="30"/>
        </w:rPr>
        <w:t>项目单位：</w:t>
      </w:r>
      <w:r>
        <w:rPr>
          <w:rFonts w:hint="eastAsia"/>
          <w:sz w:val="30"/>
          <w:szCs w:val="30"/>
          <w:u w:val="single"/>
        </w:rPr>
        <w:t>嘉鱼县自然资源和规划局</w:t>
      </w:r>
    </w:p>
    <w:p w:rsidR="00243172" w:rsidRDefault="00243172">
      <w:pPr>
        <w:rPr>
          <w:sz w:val="30"/>
          <w:szCs w:val="30"/>
        </w:rPr>
      </w:pPr>
    </w:p>
    <w:p w:rsidR="00243172" w:rsidRDefault="009739C6">
      <w:pPr>
        <w:rPr>
          <w:sz w:val="30"/>
          <w:szCs w:val="30"/>
          <w:u w:val="single"/>
        </w:rPr>
      </w:pPr>
      <w:r>
        <w:rPr>
          <w:rFonts w:hint="eastAsia"/>
          <w:sz w:val="30"/>
          <w:szCs w:val="30"/>
        </w:rPr>
        <w:t>主管部门：</w:t>
      </w:r>
      <w:r>
        <w:rPr>
          <w:rFonts w:hint="eastAsia"/>
          <w:sz w:val="30"/>
          <w:szCs w:val="30"/>
          <w:u w:val="single"/>
        </w:rPr>
        <w:t>嘉鱼县人民政府</w:t>
      </w:r>
    </w:p>
    <w:p w:rsidR="00243172" w:rsidRDefault="00243172">
      <w:pPr>
        <w:pStyle w:val="HTML"/>
        <w:shd w:val="clear" w:color="auto" w:fill="FFFFFF"/>
        <w:spacing w:before="150" w:after="150" w:line="435" w:lineRule="atLeast"/>
        <w:rPr>
          <w:sz w:val="30"/>
          <w:szCs w:val="30"/>
        </w:rPr>
      </w:pPr>
    </w:p>
    <w:p w:rsidR="00243172" w:rsidRDefault="009739C6">
      <w:pPr>
        <w:pStyle w:val="HTML"/>
        <w:shd w:val="clear" w:color="auto" w:fill="FFFFFF"/>
        <w:spacing w:before="150" w:after="150" w:line="435" w:lineRule="atLeast"/>
        <w:rPr>
          <w:sz w:val="30"/>
          <w:szCs w:val="30"/>
        </w:rPr>
      </w:pPr>
      <w:r>
        <w:rPr>
          <w:rFonts w:hint="eastAsia"/>
          <w:sz w:val="30"/>
          <w:szCs w:val="30"/>
        </w:rPr>
        <w:t>评价类型：事前评价□事中评价□事后评价</w:t>
      </w:r>
      <w:r>
        <w:rPr>
          <w:rFonts w:ascii="MS Gothic" w:eastAsia="MS Gothic" w:hAnsi="MS Gothic" w:cs="MS Gothic" w:hint="eastAsia"/>
          <w:color w:val="333333"/>
          <w:sz w:val="30"/>
          <w:szCs w:val="30"/>
        </w:rPr>
        <w:t>☑</w:t>
      </w:r>
    </w:p>
    <w:p w:rsidR="00243172" w:rsidRDefault="00243172">
      <w:pPr>
        <w:pStyle w:val="HTML"/>
        <w:shd w:val="clear" w:color="auto" w:fill="FFFFFF"/>
        <w:spacing w:before="150" w:after="150" w:line="435" w:lineRule="atLeast"/>
        <w:rPr>
          <w:sz w:val="30"/>
          <w:szCs w:val="30"/>
        </w:rPr>
      </w:pPr>
    </w:p>
    <w:p w:rsidR="00243172" w:rsidRDefault="009739C6">
      <w:pPr>
        <w:pStyle w:val="HTML"/>
        <w:shd w:val="clear" w:color="auto" w:fill="FFFFFF"/>
        <w:spacing w:before="150" w:after="150" w:line="435" w:lineRule="atLeast"/>
        <w:rPr>
          <w:sz w:val="30"/>
          <w:szCs w:val="30"/>
        </w:rPr>
      </w:pPr>
      <w:r>
        <w:rPr>
          <w:rFonts w:hint="eastAsia"/>
          <w:sz w:val="30"/>
          <w:szCs w:val="30"/>
        </w:rPr>
        <w:t>评价方式：部门（单位）组织自评</w:t>
      </w:r>
      <w:r>
        <w:rPr>
          <w:rFonts w:ascii="MS Gothic" w:eastAsia="MS Gothic" w:hAnsi="MS Gothic" w:cs="MS Gothic" w:hint="eastAsia"/>
          <w:color w:val="333333"/>
          <w:sz w:val="30"/>
          <w:szCs w:val="30"/>
        </w:rPr>
        <w:t>☑</w:t>
      </w:r>
      <w:r>
        <w:rPr>
          <w:rFonts w:hint="eastAsia"/>
          <w:sz w:val="30"/>
          <w:szCs w:val="30"/>
        </w:rPr>
        <w:t>财政部门组织评价</w:t>
      </w:r>
    </w:p>
    <w:p w:rsidR="00243172" w:rsidRDefault="00243172">
      <w:pPr>
        <w:rPr>
          <w:sz w:val="30"/>
          <w:szCs w:val="30"/>
        </w:rPr>
      </w:pP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30"/>
          <w:szCs w:val="30"/>
        </w:rPr>
      </w:pP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30"/>
          <w:szCs w:val="30"/>
        </w:rPr>
      </w:pP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30"/>
          <w:szCs w:val="30"/>
        </w:rPr>
      </w:pP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30"/>
          <w:szCs w:val="30"/>
        </w:rPr>
      </w:pP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30"/>
          <w:szCs w:val="30"/>
        </w:rPr>
      </w:pPr>
    </w:p>
    <w:p w:rsidR="00243172" w:rsidRDefault="00243172">
      <w:pPr>
        <w:pStyle w:val="a9"/>
        <w:shd w:val="clear" w:color="auto" w:fill="FFFFFF"/>
        <w:spacing w:before="0" w:beforeAutospacing="0" w:after="0" w:afterAutospacing="0" w:line="293" w:lineRule="atLeast"/>
        <w:jc w:val="center"/>
        <w:rPr>
          <w:sz w:val="30"/>
          <w:szCs w:val="30"/>
        </w:rPr>
      </w:pPr>
    </w:p>
    <w:p w:rsidR="00243172" w:rsidRDefault="009739C6">
      <w:pPr>
        <w:pStyle w:val="a9"/>
        <w:shd w:val="clear" w:color="auto" w:fill="FFFFFF"/>
        <w:spacing w:before="0" w:beforeAutospacing="0" w:after="0" w:afterAutospacing="0" w:line="293" w:lineRule="atLeast"/>
        <w:jc w:val="center"/>
        <w:rPr>
          <w:sz w:val="30"/>
          <w:szCs w:val="30"/>
        </w:rPr>
      </w:pPr>
      <w:r>
        <w:rPr>
          <w:sz w:val="30"/>
          <w:szCs w:val="30"/>
        </w:rPr>
        <w:t>20</w:t>
      </w:r>
      <w:r>
        <w:rPr>
          <w:rFonts w:hint="eastAsia"/>
          <w:sz w:val="30"/>
          <w:szCs w:val="30"/>
        </w:rPr>
        <w:t>21年5月20日</w:t>
      </w: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20"/>
          <w:szCs w:val="20"/>
        </w:rPr>
      </w:pPr>
    </w:p>
    <w:p w:rsidR="00243172" w:rsidRDefault="00243172">
      <w:pPr>
        <w:pStyle w:val="a9"/>
        <w:shd w:val="clear" w:color="auto" w:fill="FFFFFF"/>
        <w:spacing w:before="0" w:beforeAutospacing="0" w:after="0" w:afterAutospacing="0" w:line="293" w:lineRule="atLeast"/>
        <w:ind w:firstLine="390"/>
        <w:rPr>
          <w:rFonts w:ascii="Helvetica" w:hAnsi="Helvetica"/>
          <w:color w:val="333333"/>
          <w:sz w:val="20"/>
          <w:szCs w:val="20"/>
        </w:rPr>
      </w:pPr>
    </w:p>
    <w:p w:rsidR="00243172" w:rsidRDefault="009739C6">
      <w:pPr>
        <w:pStyle w:val="1"/>
        <w:spacing w:before="0" w:after="0" w:line="360" w:lineRule="auto"/>
        <w:rPr>
          <w:rFonts w:ascii="宋体" w:cs="宋体"/>
          <w:color w:val="000000"/>
          <w:sz w:val="28"/>
          <w:szCs w:val="28"/>
        </w:rPr>
      </w:pPr>
      <w:bookmarkStart w:id="1" w:name="_Toc468008306"/>
      <w:r>
        <w:rPr>
          <w:rFonts w:ascii="宋体" w:hAnsi="宋体" w:cs="宋体" w:hint="eastAsia"/>
          <w:color w:val="000000"/>
          <w:sz w:val="28"/>
          <w:szCs w:val="28"/>
        </w:rPr>
        <w:lastRenderedPageBreak/>
        <w:t>一、部门基本情况</w:t>
      </w:r>
      <w:bookmarkEnd w:id="1"/>
    </w:p>
    <w:p w:rsidR="00243172" w:rsidRDefault="009739C6">
      <w:pPr>
        <w:pStyle w:val="2"/>
        <w:spacing w:before="0" w:after="0" w:line="360" w:lineRule="auto"/>
        <w:rPr>
          <w:rFonts w:ascii="宋体" w:eastAsia="宋体" w:hAnsi="宋体" w:cs="宋体"/>
          <w:color w:val="000000"/>
          <w:sz w:val="28"/>
          <w:szCs w:val="28"/>
        </w:rPr>
      </w:pPr>
      <w:bookmarkStart w:id="2" w:name="_Toc468008307"/>
      <w:r>
        <w:rPr>
          <w:rFonts w:ascii="宋体" w:eastAsia="宋体" w:hAnsi="宋体" w:cs="宋体" w:hint="eastAsia"/>
          <w:color w:val="000000"/>
          <w:sz w:val="28"/>
          <w:szCs w:val="28"/>
        </w:rPr>
        <w:t>部门概况</w:t>
      </w:r>
      <w:bookmarkEnd w:id="2"/>
    </w:p>
    <w:p w:rsidR="00243172" w:rsidRDefault="009739C6">
      <w:pPr>
        <w:pStyle w:val="3"/>
        <w:spacing w:before="0" w:after="0" w:line="360" w:lineRule="auto"/>
        <w:rPr>
          <w:rFonts w:ascii="宋体" w:cs="宋体"/>
          <w:color w:val="000000"/>
          <w:sz w:val="28"/>
          <w:szCs w:val="28"/>
        </w:rPr>
      </w:pPr>
      <w:bookmarkStart w:id="3" w:name="_Toc468008308"/>
      <w:r>
        <w:rPr>
          <w:rFonts w:ascii="宋体" w:hAnsi="宋体" w:cs="宋体"/>
          <w:color w:val="000000"/>
          <w:sz w:val="28"/>
          <w:szCs w:val="28"/>
        </w:rPr>
        <w:t xml:space="preserve">    1</w:t>
      </w:r>
      <w:r>
        <w:rPr>
          <w:rFonts w:ascii="宋体" w:hAnsi="宋体" w:cs="宋体" w:hint="eastAsia"/>
          <w:color w:val="000000"/>
          <w:sz w:val="28"/>
          <w:szCs w:val="28"/>
        </w:rPr>
        <w:t>、机构设置和人员编制情况</w:t>
      </w:r>
      <w:bookmarkEnd w:id="3"/>
    </w:p>
    <w:p w:rsidR="00243172" w:rsidRDefault="009739C6">
      <w:pPr>
        <w:spacing w:line="360" w:lineRule="auto"/>
        <w:rPr>
          <w:rFonts w:ascii="宋体" w:hAnsi="宋体" w:cs="宋体"/>
          <w:color w:val="000000"/>
          <w:kern w:val="0"/>
          <w:sz w:val="28"/>
          <w:szCs w:val="28"/>
        </w:rPr>
      </w:pPr>
      <w:bookmarkStart w:id="4" w:name="_Toc468008309"/>
      <w:r>
        <w:rPr>
          <w:rFonts w:ascii="宋体" w:hAnsi="宋体" w:cs="宋体" w:hint="eastAsia"/>
          <w:color w:val="000000"/>
          <w:kern w:val="0"/>
          <w:sz w:val="28"/>
          <w:szCs w:val="28"/>
        </w:rPr>
        <w:t>本单位为差额拨款行政单位，单位内设7个股室,分别是办公室、国土空间规划股、国土空间用途管制股、耕地保护与生态修复股、地质与矿产资源管理股、行政审批股、法规督察股；7个局属二级事业单位；5个乡镇基层所。政编制16个，事业编制146个，工勤编制1个。单位实有人数223人，其中：在编159人(其中：财政供养41人，财政包干116人，以钱养事财政包干2人)，退休人员64人。</w:t>
      </w:r>
    </w:p>
    <w:p w:rsidR="00243172" w:rsidRDefault="009739C6">
      <w:pPr>
        <w:spacing w:line="360" w:lineRule="auto"/>
        <w:rPr>
          <w:rFonts w:ascii="宋体" w:cs="宋体"/>
          <w:color w:val="000000"/>
          <w:sz w:val="28"/>
          <w:szCs w:val="28"/>
        </w:rPr>
      </w:pPr>
      <w:r>
        <w:rPr>
          <w:rFonts w:ascii="宋体" w:hAnsi="宋体" w:cs="宋体"/>
          <w:b/>
          <w:color w:val="000000"/>
          <w:sz w:val="28"/>
          <w:szCs w:val="28"/>
        </w:rPr>
        <w:t xml:space="preserve">  2</w:t>
      </w:r>
      <w:r>
        <w:rPr>
          <w:rFonts w:ascii="宋体" w:hAnsi="宋体" w:cs="宋体" w:hint="eastAsia"/>
          <w:b/>
          <w:color w:val="000000"/>
          <w:sz w:val="28"/>
          <w:szCs w:val="28"/>
        </w:rPr>
        <w:t>、总体资金情况</w:t>
      </w:r>
      <w:bookmarkEnd w:id="4"/>
    </w:p>
    <w:p w:rsidR="00243172" w:rsidRDefault="009739C6">
      <w:pPr>
        <w:spacing w:line="360" w:lineRule="auto"/>
        <w:ind w:firstLineChars="200" w:firstLine="562"/>
        <w:rPr>
          <w:rFonts w:ascii="宋体" w:cs="宋体"/>
          <w:b/>
          <w:bCs/>
          <w:color w:val="000000"/>
          <w:kern w:val="0"/>
          <w:sz w:val="28"/>
          <w:szCs w:val="28"/>
        </w:rPr>
      </w:pPr>
      <w:r>
        <w:rPr>
          <w:rFonts w:ascii="宋体" w:hAnsi="宋体" w:cs="宋体" w:hint="eastAsia"/>
          <w:b/>
          <w:bCs/>
          <w:color w:val="000000"/>
          <w:kern w:val="0"/>
          <w:sz w:val="28"/>
          <w:szCs w:val="28"/>
        </w:rPr>
        <w:t>（</w:t>
      </w:r>
      <w:r>
        <w:rPr>
          <w:rFonts w:ascii="宋体" w:hAnsi="宋体" w:cs="宋体"/>
          <w:b/>
          <w:bCs/>
          <w:color w:val="000000"/>
          <w:kern w:val="0"/>
          <w:sz w:val="28"/>
          <w:szCs w:val="28"/>
        </w:rPr>
        <w:t>1</w:t>
      </w:r>
      <w:r>
        <w:rPr>
          <w:rFonts w:ascii="宋体" w:hAnsi="宋体" w:cs="宋体" w:hint="eastAsia"/>
          <w:b/>
          <w:bCs/>
          <w:color w:val="000000"/>
          <w:kern w:val="0"/>
          <w:sz w:val="28"/>
          <w:szCs w:val="28"/>
        </w:rPr>
        <w:t>）预算资金收支情况</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根据嘉鱼县财政局对嘉鱼县自然资源和规划局预算批复，嘉鱼县自然资源和规划局预算收支情况如下：</w:t>
      </w:r>
    </w:p>
    <w:p w:rsidR="00243172" w:rsidRDefault="009739C6">
      <w:pPr>
        <w:spacing w:beforeLines="100" w:before="312" w:afterLines="100" w:after="312"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2021年收支预算安排情况</w:t>
      </w:r>
    </w:p>
    <w:tbl>
      <w:tblPr>
        <w:tblW w:w="7218" w:type="dxa"/>
        <w:tblInd w:w="6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14"/>
        <w:gridCol w:w="2904"/>
      </w:tblGrid>
      <w:tr w:rsidR="00243172">
        <w:trPr>
          <w:trHeight w:val="277"/>
        </w:trPr>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jc w:val="center"/>
              <w:rPr>
                <w:color w:val="000000"/>
                <w:sz w:val="21"/>
                <w:szCs w:val="21"/>
              </w:rPr>
            </w:pPr>
            <w:r>
              <w:rPr>
                <w:rFonts w:hint="eastAsia"/>
                <w:b/>
                <w:bCs/>
                <w:color w:val="000000"/>
                <w:sz w:val="21"/>
                <w:szCs w:val="21"/>
              </w:rPr>
              <w:t>预算项目</w:t>
            </w:r>
            <w:r>
              <w:rPr>
                <w:rFonts w:hint="eastAsia"/>
                <w:b/>
                <w:color w:val="000000"/>
                <w:sz w:val="21"/>
                <w:szCs w:val="21"/>
              </w:rPr>
              <w:t>（单位：万元）</w:t>
            </w: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jc w:val="center"/>
              <w:rPr>
                <w:color w:val="000000"/>
                <w:sz w:val="21"/>
                <w:szCs w:val="21"/>
              </w:rPr>
            </w:pPr>
            <w:r>
              <w:rPr>
                <w:rFonts w:hint="eastAsia"/>
                <w:b/>
                <w:bCs/>
                <w:color w:val="000000"/>
                <w:sz w:val="21"/>
                <w:szCs w:val="21"/>
              </w:rPr>
              <w:t>年初预算</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rPr>
                <w:color w:val="000000"/>
                <w:sz w:val="21"/>
                <w:szCs w:val="21"/>
              </w:rPr>
            </w:pPr>
            <w:r>
              <w:rPr>
                <w:rFonts w:hint="eastAsia"/>
                <w:color w:val="000000"/>
                <w:sz w:val="21"/>
                <w:szCs w:val="21"/>
              </w:rPr>
              <w:t>财政拨款（补助）</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14,679.04</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firstLineChars="200" w:firstLine="420"/>
              <w:rPr>
                <w:color w:val="000000"/>
                <w:sz w:val="21"/>
                <w:szCs w:val="21"/>
              </w:rPr>
            </w:pPr>
            <w:r>
              <w:rPr>
                <w:rFonts w:hint="eastAsia"/>
                <w:color w:val="000000"/>
                <w:sz w:val="21"/>
                <w:szCs w:val="21"/>
              </w:rPr>
              <w:t>其中：经费拨款（补助）</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3,223.65</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firstLineChars="300" w:firstLine="630"/>
              <w:rPr>
                <w:color w:val="000000"/>
                <w:sz w:val="21"/>
                <w:szCs w:val="21"/>
              </w:rPr>
            </w:pPr>
            <w:r>
              <w:rPr>
                <w:rFonts w:hint="eastAsia"/>
                <w:color w:val="000000"/>
                <w:sz w:val="21"/>
                <w:szCs w:val="21"/>
              </w:rPr>
              <w:t>纳入预算管理的非税收入</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748.25</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firstLineChars="300" w:firstLine="630"/>
              <w:rPr>
                <w:color w:val="000000"/>
                <w:sz w:val="21"/>
                <w:szCs w:val="21"/>
              </w:rPr>
            </w:pPr>
            <w:r>
              <w:rPr>
                <w:rFonts w:hint="eastAsia"/>
                <w:color w:val="000000"/>
                <w:sz w:val="21"/>
                <w:szCs w:val="21"/>
              </w:rPr>
              <w:t>县级专项补助</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10,707.12</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firstLineChars="300" w:firstLine="630"/>
              <w:rPr>
                <w:color w:val="000000"/>
                <w:sz w:val="21"/>
                <w:szCs w:val="21"/>
              </w:rPr>
            </w:pPr>
            <w:r>
              <w:rPr>
                <w:rFonts w:hint="eastAsia"/>
                <w:color w:val="000000"/>
                <w:sz w:val="21"/>
                <w:szCs w:val="21"/>
              </w:rPr>
              <w:t>上级专款补助</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243172">
            <w:pPr>
              <w:jc w:val="center"/>
              <w:rPr>
                <w:color w:val="000000"/>
                <w:szCs w:val="21"/>
                <w:highlight w:val="yellow"/>
              </w:rPr>
            </w:pP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jc w:val="center"/>
              <w:rPr>
                <w:color w:val="000000"/>
                <w:sz w:val="21"/>
                <w:szCs w:val="21"/>
              </w:rPr>
            </w:pPr>
            <w:r>
              <w:rPr>
                <w:rFonts w:hint="eastAsia"/>
                <w:b/>
                <w:color w:val="000000"/>
                <w:sz w:val="21"/>
                <w:szCs w:val="21"/>
              </w:rPr>
              <w:t>预算收入</w:t>
            </w:r>
            <w:r>
              <w:rPr>
                <w:rFonts w:hint="eastAsia"/>
                <w:b/>
                <w:bCs/>
                <w:color w:val="000000"/>
                <w:sz w:val="21"/>
                <w:szCs w:val="21"/>
              </w:rPr>
              <w:t>合计</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b/>
                <w:color w:val="000000"/>
                <w:szCs w:val="21"/>
                <w:highlight w:val="yellow"/>
              </w:rPr>
            </w:pPr>
            <w:r>
              <w:rPr>
                <w:rFonts w:ascii="宋体" w:hAnsi="宋体" w:cs="宋体" w:hint="eastAsia"/>
                <w:b/>
                <w:color w:val="000000"/>
                <w:kern w:val="0"/>
                <w:szCs w:val="21"/>
              </w:rPr>
              <w:t>14,679.04</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rPr>
                <w:color w:val="000000"/>
                <w:sz w:val="21"/>
                <w:szCs w:val="21"/>
              </w:rPr>
            </w:pPr>
            <w:r>
              <w:rPr>
                <w:rFonts w:hint="eastAsia"/>
                <w:color w:val="000000"/>
                <w:sz w:val="21"/>
                <w:szCs w:val="21"/>
              </w:rPr>
              <w:t>基本支出</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color w:val="000000"/>
                <w:szCs w:val="21"/>
                <w:highlight w:val="yellow"/>
              </w:rPr>
            </w:pPr>
            <w:r>
              <w:rPr>
                <w:rFonts w:ascii="宋体" w:hAnsi="宋体" w:cs="宋体" w:hint="eastAsia"/>
                <w:color w:val="000000"/>
                <w:kern w:val="0"/>
                <w:szCs w:val="21"/>
                <w:lang w:bidi="ar"/>
              </w:rPr>
              <w:t>2,574.98</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firstLineChars="200" w:firstLine="420"/>
              <w:rPr>
                <w:color w:val="000000"/>
                <w:sz w:val="21"/>
                <w:szCs w:val="21"/>
              </w:rPr>
            </w:pPr>
            <w:r>
              <w:rPr>
                <w:rFonts w:hint="eastAsia"/>
                <w:color w:val="000000"/>
                <w:sz w:val="21"/>
                <w:szCs w:val="21"/>
              </w:rPr>
              <w:t>其中：工资福利支出</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color w:val="000000"/>
                <w:szCs w:val="21"/>
                <w:highlight w:val="yellow"/>
              </w:rPr>
            </w:pPr>
            <w:r>
              <w:rPr>
                <w:rFonts w:ascii="宋体" w:hAnsi="宋体" w:cs="宋体" w:hint="eastAsia"/>
                <w:color w:val="000000"/>
                <w:kern w:val="0"/>
                <w:szCs w:val="21"/>
                <w:lang w:bidi="ar"/>
              </w:rPr>
              <w:t>2,157.94</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firstLineChars="400" w:firstLine="840"/>
              <w:rPr>
                <w:color w:val="000000"/>
                <w:sz w:val="21"/>
                <w:szCs w:val="21"/>
              </w:rPr>
            </w:pPr>
            <w:r>
              <w:rPr>
                <w:rFonts w:hint="eastAsia"/>
                <w:color w:val="000000"/>
                <w:sz w:val="21"/>
                <w:szCs w:val="21"/>
              </w:rPr>
              <w:lastRenderedPageBreak/>
              <w:t>对个人和家庭的补助</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color w:val="000000"/>
                <w:szCs w:val="21"/>
                <w:highlight w:val="yellow"/>
              </w:rPr>
            </w:pPr>
            <w:r>
              <w:rPr>
                <w:rFonts w:ascii="宋体" w:hAnsi="宋体" w:cs="宋体" w:hint="eastAsia"/>
                <w:color w:val="000000"/>
                <w:kern w:val="0"/>
                <w:szCs w:val="21"/>
                <w:lang w:bidi="ar"/>
              </w:rPr>
              <w:t>132.73</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firstLineChars="400" w:firstLine="840"/>
              <w:rPr>
                <w:color w:val="000000"/>
                <w:sz w:val="21"/>
                <w:szCs w:val="21"/>
              </w:rPr>
            </w:pPr>
            <w:r>
              <w:rPr>
                <w:rFonts w:hint="eastAsia"/>
                <w:color w:val="000000"/>
                <w:sz w:val="21"/>
                <w:szCs w:val="21"/>
              </w:rPr>
              <w:t>商品和服务支出</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color w:val="000000"/>
                <w:szCs w:val="21"/>
                <w:highlight w:val="yellow"/>
              </w:rPr>
            </w:pPr>
            <w:r>
              <w:rPr>
                <w:rFonts w:ascii="宋体" w:hAnsi="宋体" w:cs="宋体" w:hint="eastAsia"/>
                <w:color w:val="000000"/>
                <w:kern w:val="0"/>
                <w:szCs w:val="21"/>
                <w:lang w:bidi="ar"/>
              </w:rPr>
              <w:t>284.31</w:t>
            </w:r>
          </w:p>
        </w:tc>
      </w:tr>
      <w:tr w:rsidR="00243172">
        <w:trPr>
          <w:trHeight w:val="277"/>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rPr>
                <w:color w:val="000000"/>
                <w:sz w:val="21"/>
                <w:szCs w:val="21"/>
              </w:rPr>
            </w:pPr>
            <w:r>
              <w:rPr>
                <w:rFonts w:hint="eastAsia"/>
                <w:color w:val="000000"/>
                <w:sz w:val="21"/>
                <w:szCs w:val="21"/>
              </w:rPr>
              <w:t>项目支出</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color w:val="000000"/>
                <w:szCs w:val="21"/>
                <w:highlight w:val="yellow"/>
              </w:rPr>
            </w:pPr>
            <w:r>
              <w:rPr>
                <w:rFonts w:ascii="宋体" w:hAnsi="宋体" w:cs="宋体" w:hint="eastAsia"/>
                <w:color w:val="000000"/>
                <w:kern w:val="0"/>
                <w:szCs w:val="21"/>
                <w:lang w:bidi="ar"/>
              </w:rPr>
              <w:t>12,104.06</w:t>
            </w:r>
          </w:p>
        </w:tc>
      </w:tr>
      <w:tr w:rsidR="00243172">
        <w:trPr>
          <w:trHeight w:val="289"/>
        </w:trPr>
        <w:tc>
          <w:tcPr>
            <w:tcW w:w="4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3172" w:rsidRDefault="009739C6">
            <w:pPr>
              <w:pStyle w:val="customunionstyle"/>
              <w:widowControl w:val="0"/>
              <w:spacing w:line="360" w:lineRule="auto"/>
              <w:ind w:leftChars="-135" w:left="-283"/>
              <w:jc w:val="center"/>
              <w:rPr>
                <w:color w:val="000000"/>
                <w:sz w:val="21"/>
                <w:szCs w:val="21"/>
              </w:rPr>
            </w:pPr>
            <w:r>
              <w:rPr>
                <w:rFonts w:hint="eastAsia"/>
                <w:b/>
                <w:bCs/>
                <w:color w:val="000000"/>
                <w:sz w:val="21"/>
                <w:szCs w:val="21"/>
              </w:rPr>
              <w:t>支出预算合计</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243172" w:rsidRDefault="009739C6">
            <w:pPr>
              <w:widowControl/>
              <w:jc w:val="center"/>
              <w:textAlignment w:val="center"/>
              <w:rPr>
                <w:b/>
                <w:color w:val="000000"/>
                <w:szCs w:val="21"/>
                <w:highlight w:val="yellow"/>
              </w:rPr>
            </w:pPr>
            <w:r>
              <w:rPr>
                <w:rFonts w:ascii="宋体" w:hAnsi="宋体" w:cs="宋体" w:hint="eastAsia"/>
                <w:b/>
                <w:bCs/>
                <w:color w:val="000000"/>
                <w:kern w:val="0"/>
                <w:szCs w:val="21"/>
                <w:lang w:bidi="ar"/>
              </w:rPr>
              <w:t>14,679.04</w:t>
            </w:r>
          </w:p>
        </w:tc>
      </w:tr>
    </w:tbl>
    <w:p w:rsidR="00243172" w:rsidRDefault="009739C6">
      <w:pPr>
        <w:spacing w:beforeLines="100" w:before="312" w:afterLines="100" w:after="312"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2021年决算资金收支情况</w:t>
      </w:r>
    </w:p>
    <w:tbl>
      <w:tblPr>
        <w:tblW w:w="7215" w:type="dxa"/>
        <w:tblInd w:w="6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305"/>
        <w:gridCol w:w="2910"/>
      </w:tblGrid>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jc w:val="center"/>
              <w:rPr>
                <w:color w:val="000000"/>
                <w:sz w:val="21"/>
                <w:szCs w:val="21"/>
              </w:rPr>
            </w:pPr>
            <w:r>
              <w:rPr>
                <w:rFonts w:hint="eastAsia"/>
                <w:b/>
                <w:bCs/>
                <w:color w:val="000000"/>
                <w:sz w:val="21"/>
                <w:szCs w:val="21"/>
              </w:rPr>
              <w:t>决算项目</w:t>
            </w:r>
          </w:p>
        </w:tc>
        <w:tc>
          <w:tcPr>
            <w:tcW w:w="2910"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b/>
                <w:bCs/>
                <w:color w:val="000000"/>
                <w:sz w:val="21"/>
                <w:szCs w:val="21"/>
              </w:rPr>
              <w:t>合计</w:t>
            </w:r>
            <w:r>
              <w:rPr>
                <w:rFonts w:hint="eastAsia"/>
                <w:color w:val="000000"/>
                <w:sz w:val="21"/>
                <w:szCs w:val="21"/>
              </w:rPr>
              <w:t>（单位：万元）</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财政拨款收入</w:t>
            </w:r>
          </w:p>
        </w:tc>
        <w:tc>
          <w:tcPr>
            <w:tcW w:w="2910" w:type="dxa"/>
            <w:tcMar>
              <w:top w:w="0" w:type="dxa"/>
              <w:left w:w="108" w:type="dxa"/>
              <w:bottom w:w="0" w:type="dxa"/>
              <w:right w:w="108" w:type="dxa"/>
            </w:tcMar>
            <w:vAlign w:val="center"/>
          </w:tcPr>
          <w:p w:rsidR="00243172" w:rsidRDefault="009739C6">
            <w:pPr>
              <w:widowControl/>
              <w:jc w:val="center"/>
              <w:textAlignment w:val="center"/>
              <w:rPr>
                <w:rFonts w:ascii="宋体" w:hAnsi="宋体" w:cs="宋体"/>
                <w:color w:val="000000"/>
                <w:sz w:val="22"/>
              </w:rPr>
            </w:pPr>
            <w:r>
              <w:rPr>
                <w:rFonts w:ascii="宋体" w:hAnsi="宋体" w:cs="宋体" w:hint="eastAsia"/>
                <w:color w:val="000000"/>
                <w:kern w:val="0"/>
                <w:szCs w:val="21"/>
              </w:rPr>
              <w:t>6,399.70</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Chars="300" w:firstLine="630"/>
              <w:jc w:val="both"/>
              <w:rPr>
                <w:color w:val="000000"/>
                <w:sz w:val="21"/>
                <w:szCs w:val="21"/>
              </w:rPr>
            </w:pPr>
            <w:r>
              <w:rPr>
                <w:rFonts w:hint="eastAsia"/>
                <w:color w:val="000000"/>
                <w:sz w:val="21"/>
                <w:szCs w:val="21"/>
              </w:rPr>
              <w:t>其中：经费拨款（补助）</w:t>
            </w:r>
          </w:p>
        </w:tc>
        <w:tc>
          <w:tcPr>
            <w:tcW w:w="2910" w:type="dxa"/>
            <w:tcMar>
              <w:top w:w="0" w:type="dxa"/>
              <w:left w:w="108" w:type="dxa"/>
              <w:bottom w:w="0" w:type="dxa"/>
              <w:right w:w="108" w:type="dxa"/>
            </w:tcMar>
            <w:vAlign w:val="center"/>
          </w:tcPr>
          <w:p w:rsidR="00243172" w:rsidRDefault="009739C6">
            <w:pPr>
              <w:widowControl/>
              <w:jc w:val="center"/>
              <w:textAlignment w:val="center"/>
              <w:rPr>
                <w:color w:val="000000"/>
                <w:szCs w:val="21"/>
                <w:highlight w:val="yellow"/>
              </w:rPr>
            </w:pPr>
            <w:r>
              <w:rPr>
                <w:rFonts w:ascii="宋体" w:hAnsi="宋体" w:cs="宋体" w:hint="eastAsia"/>
                <w:color w:val="000000"/>
                <w:kern w:val="0"/>
                <w:szCs w:val="21"/>
              </w:rPr>
              <w:t>6,390.77</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jc w:val="center"/>
              <w:rPr>
                <w:color w:val="000000"/>
                <w:sz w:val="21"/>
                <w:szCs w:val="21"/>
              </w:rPr>
            </w:pPr>
            <w:r>
              <w:rPr>
                <w:rFonts w:hint="eastAsia"/>
                <w:color w:val="000000"/>
                <w:sz w:val="21"/>
                <w:szCs w:val="21"/>
              </w:rPr>
              <w:t xml:space="preserve">      纳入预算管理的非税收入</w:t>
            </w:r>
          </w:p>
        </w:tc>
        <w:tc>
          <w:tcPr>
            <w:tcW w:w="2910" w:type="dxa"/>
            <w:tcMar>
              <w:top w:w="0" w:type="dxa"/>
              <w:left w:w="108" w:type="dxa"/>
              <w:bottom w:w="0" w:type="dxa"/>
              <w:right w:w="108" w:type="dxa"/>
            </w:tcMar>
            <w:vAlign w:val="center"/>
          </w:tcPr>
          <w:p w:rsidR="00243172" w:rsidRDefault="00243172">
            <w:pPr>
              <w:jc w:val="center"/>
              <w:rPr>
                <w:color w:val="000000"/>
                <w:szCs w:val="21"/>
                <w:highlight w:val="yellow"/>
              </w:rPr>
            </w:pP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Chars="600" w:firstLine="1260"/>
              <w:rPr>
                <w:color w:val="000000"/>
                <w:sz w:val="21"/>
                <w:szCs w:val="21"/>
              </w:rPr>
            </w:pPr>
            <w:r>
              <w:rPr>
                <w:rFonts w:hint="eastAsia"/>
                <w:color w:val="000000"/>
                <w:sz w:val="21"/>
                <w:szCs w:val="21"/>
              </w:rPr>
              <w:t>县级专项补助</w:t>
            </w:r>
          </w:p>
        </w:tc>
        <w:tc>
          <w:tcPr>
            <w:tcW w:w="2910" w:type="dxa"/>
            <w:tcMar>
              <w:top w:w="0" w:type="dxa"/>
              <w:left w:w="108" w:type="dxa"/>
              <w:bottom w:w="0" w:type="dxa"/>
              <w:right w:w="108" w:type="dxa"/>
            </w:tcMar>
            <w:vAlign w:val="center"/>
          </w:tcPr>
          <w:p w:rsidR="00243172" w:rsidRDefault="00243172">
            <w:pPr>
              <w:widowControl/>
              <w:jc w:val="center"/>
              <w:textAlignment w:val="center"/>
              <w:rPr>
                <w:color w:val="000000"/>
                <w:szCs w:val="21"/>
                <w:highlight w:val="yellow"/>
              </w:rPr>
            </w:pP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Chars="200" w:firstLine="420"/>
              <w:rPr>
                <w:color w:val="000000"/>
                <w:sz w:val="21"/>
                <w:szCs w:val="21"/>
              </w:rPr>
            </w:pPr>
            <w:r>
              <w:rPr>
                <w:rFonts w:hint="eastAsia"/>
                <w:color w:val="000000"/>
                <w:sz w:val="21"/>
                <w:szCs w:val="21"/>
              </w:rPr>
              <w:t>其他收入</w:t>
            </w:r>
          </w:p>
        </w:tc>
        <w:tc>
          <w:tcPr>
            <w:tcW w:w="2910" w:type="dxa"/>
            <w:tcMar>
              <w:top w:w="0" w:type="dxa"/>
              <w:left w:w="108" w:type="dxa"/>
              <w:bottom w:w="0" w:type="dxa"/>
              <w:right w:w="108" w:type="dxa"/>
            </w:tcMar>
            <w:vAlign w:val="center"/>
          </w:tcPr>
          <w:p w:rsidR="00243172" w:rsidRDefault="009739C6">
            <w:pPr>
              <w:jc w:val="center"/>
              <w:rPr>
                <w:color w:val="000000"/>
                <w:szCs w:val="21"/>
                <w:highlight w:val="yellow"/>
              </w:rPr>
            </w:pPr>
            <w:r>
              <w:rPr>
                <w:rFonts w:ascii="宋体" w:hAnsi="宋体" w:cs="宋体" w:hint="eastAsia"/>
                <w:color w:val="000000"/>
                <w:kern w:val="0"/>
                <w:szCs w:val="21"/>
              </w:rPr>
              <w:t>8.93</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jc w:val="center"/>
              <w:rPr>
                <w:color w:val="000000"/>
                <w:sz w:val="21"/>
                <w:szCs w:val="21"/>
              </w:rPr>
            </w:pPr>
            <w:r>
              <w:rPr>
                <w:rFonts w:hint="eastAsia"/>
                <w:b/>
                <w:color w:val="000000"/>
                <w:sz w:val="21"/>
                <w:szCs w:val="21"/>
              </w:rPr>
              <w:t>决算收入</w:t>
            </w:r>
            <w:r>
              <w:rPr>
                <w:rFonts w:hint="eastAsia"/>
                <w:b/>
                <w:bCs/>
                <w:color w:val="000000"/>
                <w:sz w:val="21"/>
                <w:szCs w:val="21"/>
              </w:rPr>
              <w:t>合计</w:t>
            </w:r>
          </w:p>
        </w:tc>
        <w:tc>
          <w:tcPr>
            <w:tcW w:w="2910" w:type="dxa"/>
            <w:tcMar>
              <w:top w:w="0" w:type="dxa"/>
              <w:left w:w="108" w:type="dxa"/>
              <w:bottom w:w="0" w:type="dxa"/>
              <w:right w:w="108" w:type="dxa"/>
            </w:tcMar>
            <w:vAlign w:val="center"/>
          </w:tcPr>
          <w:p w:rsidR="00243172" w:rsidRDefault="009739C6">
            <w:pPr>
              <w:widowControl/>
              <w:jc w:val="center"/>
              <w:textAlignment w:val="center"/>
              <w:rPr>
                <w:b/>
                <w:color w:val="000000"/>
                <w:szCs w:val="21"/>
                <w:highlight w:val="yellow"/>
              </w:rPr>
            </w:pPr>
            <w:r>
              <w:rPr>
                <w:rFonts w:ascii="宋体" w:hAnsi="宋体" w:cs="宋体" w:hint="eastAsia"/>
                <w:b/>
                <w:color w:val="000000"/>
                <w:kern w:val="0"/>
                <w:szCs w:val="21"/>
              </w:rPr>
              <w:t>6,399.70</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基本支出</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2,946.57</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其中：工资福利支出</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2,245.32</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对个人和家庭的补助</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133.85</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商品和服务支出</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546.53</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其他资本性支出</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20.87</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其他支出</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0</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spacing w:line="360" w:lineRule="auto"/>
              <w:ind w:firstLine="495"/>
              <w:jc w:val="both"/>
              <w:rPr>
                <w:color w:val="000000"/>
                <w:sz w:val="21"/>
                <w:szCs w:val="21"/>
              </w:rPr>
            </w:pPr>
            <w:r>
              <w:rPr>
                <w:rFonts w:hint="eastAsia"/>
                <w:color w:val="000000"/>
                <w:sz w:val="21"/>
                <w:szCs w:val="21"/>
              </w:rPr>
              <w:t>项目支出</w:t>
            </w:r>
          </w:p>
        </w:tc>
        <w:tc>
          <w:tcPr>
            <w:tcW w:w="2910" w:type="dxa"/>
            <w:tcMar>
              <w:top w:w="0" w:type="dxa"/>
              <w:left w:w="108" w:type="dxa"/>
              <w:bottom w:w="0" w:type="dxa"/>
              <w:right w:w="108" w:type="dxa"/>
            </w:tcMar>
            <w:vAlign w:val="bottom"/>
          </w:tcPr>
          <w:p w:rsidR="00243172" w:rsidRDefault="009739C6">
            <w:pPr>
              <w:widowControl/>
              <w:jc w:val="center"/>
              <w:textAlignment w:val="bottom"/>
              <w:rPr>
                <w:rFonts w:ascii="宋体" w:hAnsi="宋体" w:cs="宋体"/>
                <w:color w:val="000000"/>
                <w:kern w:val="0"/>
                <w:szCs w:val="21"/>
              </w:rPr>
            </w:pPr>
            <w:r>
              <w:rPr>
                <w:rFonts w:ascii="宋体" w:hAnsi="宋体" w:cs="宋体" w:hint="eastAsia"/>
                <w:color w:val="000000"/>
                <w:kern w:val="0"/>
                <w:szCs w:val="21"/>
                <w:lang w:bidi="ar"/>
              </w:rPr>
              <w:t>3,453.13</w:t>
            </w:r>
          </w:p>
        </w:tc>
      </w:tr>
      <w:tr w:rsidR="00243172">
        <w:trPr>
          <w:trHeight w:val="435"/>
        </w:trPr>
        <w:tc>
          <w:tcPr>
            <w:tcW w:w="4305" w:type="dxa"/>
            <w:tcMar>
              <w:top w:w="0" w:type="dxa"/>
              <w:left w:w="108" w:type="dxa"/>
              <w:bottom w:w="0" w:type="dxa"/>
              <w:right w:w="108" w:type="dxa"/>
            </w:tcMar>
            <w:vAlign w:val="center"/>
          </w:tcPr>
          <w:p w:rsidR="00243172" w:rsidRDefault="009739C6">
            <w:pPr>
              <w:pStyle w:val="customunionstyle"/>
              <w:widowControl w:val="0"/>
              <w:jc w:val="center"/>
              <w:rPr>
                <w:color w:val="000000"/>
                <w:sz w:val="21"/>
                <w:szCs w:val="21"/>
              </w:rPr>
            </w:pPr>
            <w:r>
              <w:rPr>
                <w:rFonts w:hint="eastAsia"/>
                <w:b/>
                <w:bCs/>
                <w:color w:val="000000"/>
                <w:sz w:val="21"/>
                <w:szCs w:val="21"/>
              </w:rPr>
              <w:t>支出决算合计</w:t>
            </w:r>
          </w:p>
        </w:tc>
        <w:tc>
          <w:tcPr>
            <w:tcW w:w="2910" w:type="dxa"/>
            <w:tcMar>
              <w:top w:w="0" w:type="dxa"/>
              <w:left w:w="108" w:type="dxa"/>
              <w:bottom w:w="0" w:type="dxa"/>
              <w:right w:w="108" w:type="dxa"/>
            </w:tcMar>
            <w:vAlign w:val="center"/>
          </w:tcPr>
          <w:p w:rsidR="00243172" w:rsidRDefault="009739C6">
            <w:pPr>
              <w:widowControl/>
              <w:jc w:val="center"/>
              <w:textAlignment w:val="center"/>
              <w:rPr>
                <w:b/>
                <w:color w:val="000000"/>
                <w:szCs w:val="21"/>
                <w:highlight w:val="yellow"/>
              </w:rPr>
            </w:pPr>
            <w:r>
              <w:rPr>
                <w:rFonts w:ascii="宋体" w:hAnsi="宋体" w:cs="宋体" w:hint="eastAsia"/>
                <w:b/>
                <w:color w:val="000000"/>
                <w:kern w:val="0"/>
                <w:szCs w:val="21"/>
              </w:rPr>
              <w:t>6,399.70</w:t>
            </w:r>
          </w:p>
        </w:tc>
      </w:tr>
    </w:tbl>
    <w:p w:rsidR="00243172" w:rsidRDefault="009739C6">
      <w:pPr>
        <w:spacing w:line="360" w:lineRule="auto"/>
        <w:ind w:firstLineChars="100" w:firstLine="281"/>
        <w:rPr>
          <w:rFonts w:ascii="宋体" w:hAnsi="宋体" w:cs="宋体"/>
          <w:b/>
          <w:bCs/>
          <w:color w:val="000000"/>
          <w:kern w:val="0"/>
          <w:sz w:val="28"/>
          <w:szCs w:val="28"/>
        </w:rPr>
      </w:pPr>
      <w:r>
        <w:rPr>
          <w:rFonts w:ascii="宋体" w:hAnsi="宋体" w:cs="宋体" w:hint="eastAsia"/>
          <w:b/>
          <w:bCs/>
          <w:color w:val="000000"/>
          <w:kern w:val="0"/>
          <w:sz w:val="28"/>
          <w:szCs w:val="28"/>
        </w:rPr>
        <w:t>（3）</w:t>
      </w:r>
      <w:r>
        <w:rPr>
          <w:rFonts w:ascii="宋体" w:hAnsi="宋体" w:cs="宋体" w:hint="eastAsia"/>
          <w:b/>
          <w:bCs/>
          <w:color w:val="000000"/>
          <w:sz w:val="28"/>
          <w:szCs w:val="28"/>
        </w:rPr>
        <w:t>收支</w:t>
      </w:r>
      <w:r>
        <w:rPr>
          <w:rFonts w:ascii="宋体" w:hAnsi="宋体" w:cs="宋体" w:hint="eastAsia"/>
          <w:b/>
          <w:bCs/>
          <w:color w:val="000000"/>
          <w:kern w:val="0"/>
          <w:sz w:val="28"/>
          <w:szCs w:val="28"/>
        </w:rPr>
        <w:t>情况分析</w:t>
      </w:r>
    </w:p>
    <w:p w:rsidR="00243172" w:rsidRDefault="009739C6">
      <w:pPr>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sym w:font="Wingdings" w:char="F081"/>
      </w:r>
      <w:r>
        <w:rPr>
          <w:rFonts w:ascii="宋体" w:hAnsi="宋体" w:cs="宋体" w:hint="eastAsia"/>
          <w:b/>
          <w:bCs/>
          <w:color w:val="000000"/>
          <w:kern w:val="0"/>
          <w:sz w:val="28"/>
          <w:szCs w:val="28"/>
        </w:rPr>
        <w:t xml:space="preserve"> 预决算收入分析</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2021年度嘉鱼县自然资源和规划局收入实际来源主要表现为</w:t>
      </w:r>
      <w:r>
        <w:rPr>
          <w:rFonts w:ascii="宋体" w:hAnsi="宋体" w:cs="宋体" w:hint="eastAsia"/>
          <w:color w:val="000000"/>
          <w:sz w:val="28"/>
          <w:szCs w:val="28"/>
        </w:rPr>
        <w:t>财政</w:t>
      </w:r>
      <w:r>
        <w:rPr>
          <w:rFonts w:ascii="宋体" w:hAnsi="宋体" w:cs="宋体" w:hint="eastAsia"/>
          <w:color w:val="000000"/>
          <w:kern w:val="0"/>
          <w:sz w:val="28"/>
          <w:szCs w:val="28"/>
        </w:rPr>
        <w:t>拨款收入、其他收入。财政拨款（补助）预算收入14,679.04万元，财政拨款决算收入6,399.70万元，财政拨款收入减少8,279.34万元，</w:t>
      </w:r>
      <w:r>
        <w:rPr>
          <w:rFonts w:ascii="宋体" w:hAnsi="宋体" w:cs="宋体" w:hint="eastAsia"/>
          <w:color w:val="000000"/>
          <w:kern w:val="0"/>
          <w:sz w:val="28"/>
          <w:szCs w:val="28"/>
        </w:rPr>
        <w:lastRenderedPageBreak/>
        <w:t>主要是减少预算项目实施和支付和部分项目属专项资金在财政直接支付。</w:t>
      </w:r>
    </w:p>
    <w:p w:rsidR="00243172" w:rsidRDefault="009739C6">
      <w:pPr>
        <w:spacing w:line="360" w:lineRule="auto"/>
        <w:ind w:firstLineChars="200" w:firstLine="562"/>
        <w:rPr>
          <w:rFonts w:ascii="宋体" w:hAnsi="宋体" w:cs="宋体"/>
          <w:color w:val="000000"/>
          <w:kern w:val="0"/>
          <w:sz w:val="28"/>
          <w:szCs w:val="28"/>
        </w:rPr>
      </w:pPr>
      <w:r>
        <w:rPr>
          <w:rFonts w:ascii="宋体" w:hAnsi="宋体" w:cs="宋体" w:hint="eastAsia"/>
          <w:b/>
          <w:bCs/>
          <w:color w:val="000000"/>
          <w:kern w:val="0"/>
          <w:sz w:val="28"/>
          <w:szCs w:val="28"/>
        </w:rPr>
        <w:sym w:font="Wingdings" w:char="F082"/>
      </w:r>
      <w:r>
        <w:rPr>
          <w:rFonts w:ascii="宋体" w:hAnsi="宋体" w:cs="宋体" w:hint="eastAsia"/>
          <w:b/>
          <w:bCs/>
          <w:color w:val="000000"/>
          <w:kern w:val="0"/>
          <w:sz w:val="28"/>
          <w:szCs w:val="28"/>
        </w:rPr>
        <w:t xml:space="preserve"> 预决算支出分析</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sz w:val="28"/>
          <w:szCs w:val="28"/>
        </w:rPr>
        <w:t>基本支出减少，预算数为</w:t>
      </w:r>
      <w:r>
        <w:rPr>
          <w:rFonts w:ascii="宋体" w:hAnsi="宋体" w:cs="宋体" w:hint="eastAsia"/>
          <w:color w:val="000000"/>
          <w:kern w:val="0"/>
          <w:sz w:val="28"/>
          <w:szCs w:val="28"/>
        </w:rPr>
        <w:t>2,574.98万元，决算数为2,946.57万元，增加371.59万元。其中工资增加87.38万元，对个人和家庭补助支出增加1.12万</w:t>
      </w:r>
      <w:r>
        <w:rPr>
          <w:rFonts w:ascii="宋体" w:hAnsi="宋体" w:cs="宋体" w:hint="eastAsia"/>
          <w:color w:val="000000"/>
          <w:sz w:val="28"/>
          <w:szCs w:val="28"/>
        </w:rPr>
        <w:t>元，商品和服务支出和其他资本性支出增加283.09万元。</w:t>
      </w:r>
    </w:p>
    <w:p w:rsidR="00243172" w:rsidRDefault="009739C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2021年“三公经费”总支出6.87万元，较上年数7.07万元减少0.2万元，减少的主要原因是2021年没有因公出国费用，严格控制三公经费支出。</w:t>
      </w:r>
    </w:p>
    <w:p w:rsidR="00243172" w:rsidRDefault="009739C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“三公经费”具体支出说明如下：</w:t>
      </w:r>
    </w:p>
    <w:p w:rsidR="00243172" w:rsidRDefault="009739C6">
      <w:pPr>
        <w:pStyle w:val="a9"/>
        <w:spacing w:before="0" w:beforeAutospacing="0" w:after="0" w:afterAutospacing="0" w:line="432" w:lineRule="atLeast"/>
        <w:ind w:firstLine="420"/>
        <w:rPr>
          <w:color w:val="000000"/>
          <w:sz w:val="28"/>
          <w:szCs w:val="28"/>
        </w:rPr>
      </w:pPr>
      <w:r>
        <w:rPr>
          <w:rFonts w:hint="eastAsia"/>
          <w:color w:val="000000"/>
          <w:sz w:val="28"/>
          <w:szCs w:val="28"/>
        </w:rPr>
        <w:t>1、因公出国（境）费用为0元，因公出国（境）团组0个，人次0人。</w:t>
      </w:r>
    </w:p>
    <w:p w:rsidR="00243172" w:rsidRDefault="009739C6">
      <w:pPr>
        <w:pStyle w:val="a9"/>
        <w:spacing w:before="0" w:beforeAutospacing="0" w:after="0" w:afterAutospacing="0" w:line="432" w:lineRule="atLeast"/>
        <w:ind w:firstLine="420"/>
        <w:rPr>
          <w:rFonts w:ascii="微软雅黑" w:eastAsia="微软雅黑" w:hAnsi="微软雅黑" w:cs="微软雅黑"/>
          <w:color w:val="555555"/>
          <w:sz w:val="19"/>
          <w:szCs w:val="19"/>
        </w:rPr>
      </w:pPr>
      <w:r>
        <w:rPr>
          <w:rFonts w:hint="eastAsia"/>
          <w:color w:val="000000"/>
          <w:sz w:val="28"/>
          <w:szCs w:val="28"/>
        </w:rPr>
        <w:t>2、公务用车购置0万元，运行维护费3.94万元，保有量1辆。较上年数4.12万元相比减少0.18万元，减少4%，减少的主要原因是我局严格落实厉行节约的要求，从严控制公务用车使用及运行维护费。</w:t>
      </w:r>
    </w:p>
    <w:p w:rsidR="00243172" w:rsidRDefault="009739C6">
      <w:pPr>
        <w:pStyle w:val="a9"/>
        <w:spacing w:before="0" w:beforeAutospacing="0" w:after="0" w:afterAutospacing="0" w:line="432" w:lineRule="atLeast"/>
        <w:ind w:firstLine="420"/>
        <w:rPr>
          <w:color w:val="000000"/>
          <w:sz w:val="28"/>
          <w:szCs w:val="28"/>
        </w:rPr>
      </w:pPr>
      <w:r>
        <w:rPr>
          <w:rFonts w:hint="eastAsia"/>
          <w:color w:val="000000"/>
          <w:sz w:val="28"/>
          <w:szCs w:val="28"/>
        </w:rPr>
        <w:t>3、公务接待费2.93万元，较上年数2.95万元减少0.02万元，减少的主要原因是我局严格落实厉行节约的要求，严格控制公务接待支出。</w:t>
      </w:r>
    </w:p>
    <w:p w:rsidR="00243172" w:rsidRDefault="009739C6">
      <w:pPr>
        <w:pStyle w:val="a9"/>
        <w:spacing w:before="0" w:beforeAutospacing="0" w:after="0" w:afterAutospacing="0" w:line="432" w:lineRule="atLeast"/>
        <w:ind w:firstLine="420"/>
        <w:rPr>
          <w:color w:val="000000"/>
          <w:sz w:val="28"/>
          <w:szCs w:val="28"/>
        </w:rPr>
      </w:pPr>
      <w:r>
        <w:rPr>
          <w:rFonts w:hint="eastAsia"/>
          <w:color w:val="000000"/>
          <w:sz w:val="28"/>
          <w:szCs w:val="28"/>
        </w:rPr>
        <w:t>4、2021年无会议费支出，无培训费支出。</w:t>
      </w:r>
    </w:p>
    <w:p w:rsidR="00243172" w:rsidRDefault="009739C6">
      <w:pPr>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项目支出3,453.13万元，其中：一般行政管理事务65.00万元，</w:t>
      </w:r>
      <w:r>
        <w:rPr>
          <w:rFonts w:ascii="宋体" w:hAnsi="宋体" w:cs="宋体" w:hint="eastAsia"/>
          <w:color w:val="000000"/>
          <w:sz w:val="28"/>
          <w:szCs w:val="28"/>
        </w:rPr>
        <w:lastRenderedPageBreak/>
        <w:t>自然资源规划及管理1579.67万元，土地资源利用和保护397.00万元，自然资源社会公益服务20.00万元，土地资源储备支出207.20万元，地质勘察与矿产资源管理64.02万元，其他自然资源事务支出140.83万元，其他国有土地使用权出让收入安排的支出979.41万元。</w:t>
      </w:r>
    </w:p>
    <w:p w:rsidR="00243172" w:rsidRDefault="009739C6">
      <w:pPr>
        <w:pStyle w:val="3"/>
        <w:spacing w:before="0" w:after="0" w:line="360" w:lineRule="auto"/>
        <w:rPr>
          <w:rFonts w:ascii="宋体" w:hAnsi="宋体" w:cs="宋体"/>
          <w:color w:val="000000"/>
          <w:sz w:val="28"/>
          <w:szCs w:val="28"/>
        </w:rPr>
      </w:pPr>
      <w:bookmarkStart w:id="5" w:name="_Toc468008310"/>
      <w:r>
        <w:rPr>
          <w:rFonts w:ascii="宋体" w:hAnsi="宋体" w:cs="宋体" w:hint="eastAsia"/>
          <w:color w:val="000000"/>
          <w:sz w:val="28"/>
          <w:szCs w:val="28"/>
        </w:rPr>
        <w:t xml:space="preserve">    3、部门职能概述</w:t>
      </w:r>
      <w:bookmarkStart w:id="6" w:name="_Toc468008311"/>
      <w:bookmarkEnd w:id="5"/>
    </w:p>
    <w:p w:rsidR="00243172" w:rsidRDefault="009739C6">
      <w:pPr>
        <w:pStyle w:val="a9"/>
        <w:shd w:val="clear" w:color="auto" w:fill="FFFFFF"/>
        <w:spacing w:before="0" w:beforeAutospacing="0" w:after="0" w:afterAutospacing="0" w:line="360" w:lineRule="auto"/>
        <w:ind w:firstLineChars="200" w:firstLine="560"/>
        <w:rPr>
          <w:color w:val="000000"/>
          <w:kern w:val="2"/>
          <w:sz w:val="28"/>
          <w:szCs w:val="28"/>
        </w:rPr>
      </w:pPr>
      <w:r>
        <w:rPr>
          <w:rFonts w:hint="eastAsia"/>
          <w:color w:val="000000"/>
          <w:kern w:val="2"/>
          <w:sz w:val="28"/>
          <w:szCs w:val="28"/>
        </w:rPr>
        <w:t>县自然资源和规划局贯彻落实党中央关于自然资源工作的方针政策和省委市委决策部署，落实县委工作安排，在履行职责过程中坚持和加强党对自然资源工作的集中统一领导。主要职责是：</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履行全民所有土地、矿产、森林、草地、湿地、水等自然资源资产所有者职责和所有国土空间用途管制职责。贯彻实施自然资源和国土空间规划及测绘等法律、法规，拟定相关规范性文件并监督检查执行情况。</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2）负责自然资源调查监测评价。落实国家自然资源调查监测评价指标体系、统计标准和湖北省自然资源调查监测评价制度。实施自然资源基础调查、专项调查和监测。负责自然资源调查监测评价成果的监督管理和信息发布。</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3）负责自然资源统一确权登记工作。制定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lastRenderedPageBreak/>
        <w:t>（4）负责自然资源资产有偿使用工作。实施全民所有自然资源资产统计制度，负责落实全民所有自然资源资产报告制度的有关工作。负责全民所有自然资源资产核算。编制全民所有自然资源资产负债表，拟订考核标准并组织实施。制定并指导实施全民所有自然资源资产划拨、出让、租赁、作价出资和土地储备政策，合理配置全民所有自然资源资产。负责自然资源资产价值评估管理，依法收缴相关资产收益。</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5）负责自然资源的合理开发利用。组织拟订自然资源发展规划，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6）负责建立国土空间规划体系并监督实施。负责空间规划“多规合一”工作，推进落实主体功能区战略和制度，组织编制并监督实施国土空间规划和相关专项规划。统筹、审核或者会同有关部门编制其他专项规划。开展国土空间开发适宜性评价，建立国土空间规划实施监测、评估和预警体系。组织划定生态保护红线、永久基本农田、城镇开发边界等控制线，构建节约资源和保护环境的生产、生活、生态空间布局。承担报国务院、省、市、县政府审批的国土空间规划的审核、报批和成果登记备案工作。拟订并组织实施国土空间用途管制制度，研究拟订城乡规划政策措施并监督实施。组织拟订并实施土地等自然资源年度利用计划。负责土地等国土空间用途转用工作。负责</w:t>
      </w:r>
      <w:r>
        <w:rPr>
          <w:rFonts w:hint="eastAsia"/>
          <w:color w:val="000000"/>
          <w:kern w:val="2"/>
          <w:sz w:val="28"/>
          <w:szCs w:val="28"/>
        </w:rPr>
        <w:lastRenderedPageBreak/>
        <w:t>土地征收征用等管理工作。承担城市设计及实施管理工作，统筹推进公园城市建设和管理工作。组织开展城市发展战略及其他专项研究，提出政策建议。</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7）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点备选项目。</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8）负责组织实施最严格的耕地保护制度。贯彻执行国家、省、市耕地保护政策措施，负责耕地数量、质量、生态保护。组织实施耕地保护责任目标考核和永久基本农田特殊保护。完善耕地占补平衡制度，监督占用耕地补偿制度执行情况。</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（9）负责管理地质勘查行业和全县地质工作。组织实施全县地质调查和矿产资源勘查。管理县级地质勘查项目。监督管理地质问题。负责古生物化石的监督管理。</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10）负责地质灾害预防和治理工作。按照综合防灾减灾规划相关要求，组织编制地质灾害防治规划并指导实施，落实地质灾害防治防护体系。组织指导协调和监督地质灾害调查评价及隐患的普查、详查、排查。指导开展群测群防、专业监测和预报预警等工作，指导开展地质灾害工程治理工作。</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（11）负责矿产资源管理工作。负责全县矿产资源储量和建设项目压覆重要矿产资源管理。负责矿业权管理。会同有关部门承担保护</w:t>
      </w:r>
      <w:r>
        <w:rPr>
          <w:rFonts w:hint="eastAsia"/>
          <w:color w:val="000000"/>
          <w:kern w:val="2"/>
          <w:sz w:val="28"/>
          <w:szCs w:val="28"/>
        </w:rPr>
        <w:lastRenderedPageBreak/>
        <w:t>性开采的特定矿种、优势矿产的服务和相关管理工作。监督指导矿产资源合理利用和保护。</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12）负责测绘地理信息管理工作。负责全县测绘行业管理。负责测绘资质资格与信用管理，监督管理地理信息安全和市场秩序。负责测绘地理信息成果管理、地图管理和地方测量标志的设立和保护。负责地理信息公共服务管理。拟订全县测绘（包括数字城市的基础地理信息数据库）计划并指导、监督实施。</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13）负责自然资源和规划领域科技发展和对外合作交流。制定并实施自然资源和规划领域科技创新发展和人才培养规划和计划。组织制定自然资源和规划领域有关技术标准、规范和计划并监督实施。组织实施自然资源和规划领域重大科技工程及创新能力建设，推进自然资源和规划信息化和信息资料的公共服务。开展自然资源和规划领域对外合作与交流。</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14）承担自然资源和规划督察及行政执法工作。查处自然资源开发利用、国土空间规划及测绘等重大违法案件。拟订全县自然资源和规划督察工作的具体办法和管理制度并组织实施。指导全县自然资源有关行政执法工作。</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15）负责县本级城市规划区范围内的各项建设项目的规划审查审批、规划许可、验收核实及批后管理和行政处罚等工作。参与城市传统街区、历史地段的划定和历史建筑的确定及历史文化名镇、名村的规划管理工作。统筹全县建设项目选址意见书、建设用地规划许可</w:t>
      </w:r>
      <w:r>
        <w:rPr>
          <w:rFonts w:hint="eastAsia"/>
          <w:color w:val="000000"/>
          <w:kern w:val="2"/>
          <w:sz w:val="28"/>
          <w:szCs w:val="28"/>
        </w:rPr>
        <w:lastRenderedPageBreak/>
        <w:t>证、建设工程规划许可证、乡村建设规划许可证（“一书三证”）和建设工程竣工验收规划条件核实证明的归口管理工作。</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（16）完成上级交办的其他任务。</w:t>
      </w:r>
    </w:p>
    <w:p w:rsidR="00243172" w:rsidRDefault="009739C6">
      <w:pPr>
        <w:pStyle w:val="a9"/>
        <w:shd w:val="clear" w:color="auto" w:fill="FFFFFF"/>
        <w:spacing w:before="0" w:beforeAutospacing="0" w:after="0" w:afterAutospacing="0" w:line="360" w:lineRule="auto"/>
        <w:ind w:firstLine="420"/>
        <w:rPr>
          <w:color w:val="000000"/>
          <w:kern w:val="2"/>
          <w:sz w:val="28"/>
          <w:szCs w:val="28"/>
        </w:rPr>
      </w:pPr>
      <w:r>
        <w:rPr>
          <w:rFonts w:hint="eastAsia"/>
          <w:color w:val="000000"/>
          <w:kern w:val="2"/>
          <w:sz w:val="28"/>
          <w:szCs w:val="28"/>
        </w:rPr>
        <w:t>（17）职能转变。县自然资源和规划局要落实中央、省、市、县关于统一行使全民所有自然资源资产所有者职责，统一行使所有国土空间用途管制和生态保护修复职责的要求，强化制度设计，发挥国土空间规划的管控作用，推进规划选址和用地预审审批事项整合，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强化自然资源和国土空间规划督察。</w:t>
      </w:r>
    </w:p>
    <w:p w:rsidR="00243172" w:rsidRDefault="009739C6">
      <w:pPr>
        <w:pStyle w:val="2"/>
        <w:spacing w:before="0" w:after="0" w:line="360" w:lineRule="auto"/>
        <w:ind w:firstLineChars="200" w:firstLine="562"/>
        <w:rPr>
          <w:rFonts w:ascii="宋体" w:eastAsia="宋体" w:hAnsi="宋体" w:cs="宋体"/>
          <w:color w:val="000000"/>
          <w:sz w:val="28"/>
          <w:szCs w:val="28"/>
        </w:rPr>
      </w:pPr>
      <w:bookmarkStart w:id="7" w:name="_Toc468008312"/>
      <w:bookmarkEnd w:id="6"/>
      <w:r>
        <w:rPr>
          <w:rFonts w:ascii="宋体" w:eastAsia="宋体" w:hAnsi="宋体" w:cs="宋体" w:hint="eastAsia"/>
          <w:color w:val="000000"/>
          <w:sz w:val="28"/>
          <w:szCs w:val="28"/>
        </w:rPr>
        <w:t>二、整体绩效目标</w:t>
      </w:r>
      <w:bookmarkEnd w:id="7"/>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保障单位职能发挥。保障单位基本支出和机构运转，提升机关效能，强化机关作风建设，不断提高嘉鱼县自然资源和规划局服务效能，切实加强嘉鱼县自然资源和规划局管理、服务工作，全面履行嘉鱼县自然资源和规划局工作职能。</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2、保证嘉鱼县自然资源和规划局项目的有效实施，提升嘉鱼县自然资源和规划局项目管理水平。保障项目资金及时到位，合理有效</w:t>
      </w:r>
      <w:r>
        <w:rPr>
          <w:rFonts w:ascii="宋体" w:hAnsi="宋体" w:cs="宋体" w:hint="eastAsia"/>
          <w:color w:val="000000"/>
          <w:kern w:val="0"/>
          <w:sz w:val="28"/>
          <w:szCs w:val="28"/>
        </w:rPr>
        <w:lastRenderedPageBreak/>
        <w:t>使用</w:t>
      </w:r>
      <w:bookmarkStart w:id="8" w:name="baidusnap2"/>
      <w:bookmarkEnd w:id="8"/>
      <w:r>
        <w:rPr>
          <w:rFonts w:ascii="宋体" w:hAnsi="宋体" w:cs="宋体" w:hint="eastAsia"/>
          <w:color w:val="000000"/>
          <w:kern w:val="0"/>
          <w:sz w:val="28"/>
          <w:szCs w:val="28"/>
        </w:rPr>
        <w:t>财政资源、提高财政资金使用效益，保障财政投入能够实现预期的建设目标，并发挥最大的效益。</w:t>
      </w:r>
    </w:p>
    <w:p w:rsidR="00243172" w:rsidRDefault="009739C6">
      <w:pPr>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3、完成以下工作任务：</w:t>
      </w:r>
      <w:bookmarkStart w:id="9" w:name="_Toc468008322"/>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党的建设工程不断推进。一是强化党性教育。在党史学习过程中，注重全面系统学、结合历史学、持续深入学、联系实际学，以感悟真理伟力，坚定法治自信，筑牢理论根基，强化使命担当，提高政治能力。二是强化模范引领。</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七一”前夕召开全体党员大会，公开表扬了4个红旗党支部和22名优秀共产党员，举行仪式向我局5名符合纪念章颁发条件的老党员颁发纪念章。三是强化责任担当。今年3月24日至4月30日，县委第三巡查组对我局进行了巡查，我局对发现问题照单全收，落实整改，提醒谈话3人，责令书面检讨9人，建立和完善制度13项。</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综合素质建设不断提升。一是通过强化业务技能，提升综合素质。组织干部职工参与省、市、县各类培训，开展“业务大比武”，在比、学、赶、超中提高干部职工业务水平。二是通过加大宣传力度，提升综合素质。开展“6.25全国土地日”主题宣传暨廉政书画展活动，宣传耕地保护制度和节约用地制度等相关政策，增强依法用地、节约用地的法治意识。三是通过营造政治氛围，提升综合素质。开展党史知识测试、党史专题民主生活会等形式多样的活动，强化责任担当，营造风清气正的政治生态。</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（三）国土空间布局不断优化。一是基础测绘亮点纷呈。我局在全市第一家完成新型基础测绘项目验收，包括主城区约56 km2 数字线划图测绘（1:1000）、县域范围约963 km2 数字线划图（1:2000）、DEM测绘工作内外业工作。二是“三区三线”科学划定。 按照应划</w:t>
      </w:r>
      <w:r>
        <w:rPr>
          <w:rFonts w:ascii="宋体" w:hAnsi="宋体" w:cs="宋体" w:hint="eastAsia"/>
          <w:color w:val="000000"/>
          <w:kern w:val="0"/>
          <w:sz w:val="28"/>
          <w:szCs w:val="28"/>
        </w:rPr>
        <w:lastRenderedPageBreak/>
        <w:t>尽划的原则，确定我县生态保护红线面积为210.93平方公里， 初步划定城镇开发边界进240平方公里，建立国土空间规划“一张图”。三是规划编制稳步推进。县级国土空间规划已初步形成文本、专题等成果，镇级国土空间规划编制已启动除鱼岳镇外的其他七个乡镇镇级国土空间规划编制工作，村庄规划编制工作已完成采购程序。</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四）资源要素保障不断增强。截至目前，共组织用地报件42个，总面积5601.61亩，已获省厅批准20个，总面积2580.84亩，上报省市审核项目1个，总面积144.11亩。根据《中共湖北省委、湖北省人民政府印发&lt;关于更大力度优化营商环境激发市场活力的若干措施&gt;的通知》要求，加强自然资源要素保障，将“党史学习教育”活动与“店小二”活动相结合，为企业谋发展、为群众办实事，组织动员了32名干部职工参与“店小二”服务，纳入包保服务企业（项目）28个，共计</w:t>
      </w:r>
      <w:r w:rsidR="006E268E">
        <w:rPr>
          <w:rFonts w:ascii="宋体" w:hAnsi="宋体" w:cs="宋体" w:hint="eastAsia"/>
          <w:color w:val="000000"/>
          <w:kern w:val="0"/>
          <w:sz w:val="28"/>
          <w:szCs w:val="28"/>
        </w:rPr>
        <w:t>梳理</w:t>
      </w:r>
      <w:r>
        <w:rPr>
          <w:rFonts w:ascii="宋体" w:hAnsi="宋体" w:cs="宋体" w:hint="eastAsia"/>
          <w:color w:val="000000"/>
          <w:kern w:val="0"/>
          <w:sz w:val="28"/>
          <w:szCs w:val="28"/>
        </w:rPr>
        <w:t>企业问题及诉求42条，目前已全部解决完成。</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五）资源保护力度不断增加。一是加大耕地保护力度。2020年末耕地总面积49.26万亩，永久基本农田保护面积37.45万亩，实际划定37.46万亩，圆满完成耕地保护与永久基本农田保护目标任务。二是优化矿产资源开发。开展《嘉鱼县矿产资源规划（2021-2025年）》编制工作，完成嘉鱼县杨家山矿区石灰岩矿等5个矿区地质勘查项目的野外验收，积极推进九龙山矿段采矿权出让。三是推行土地高效利用。截至2021年10月，通过供应方式消化2625.58亩，处置率为41%。同时，积极开展建设用地清理和开发区土地集约利用全面评价工作，确保土地高效利用。四是强化执法监察工作。截至目前立案10宗，涉及面积14627.48平方米，下达行政处罚10宗，已结案5宗。与此同时，扎实抓好卫片执法工作。通过对违法案件的加大查</w:t>
      </w:r>
      <w:r>
        <w:rPr>
          <w:rFonts w:ascii="宋体" w:hAnsi="宋体" w:cs="宋体" w:hint="eastAsia"/>
          <w:color w:val="000000"/>
          <w:kern w:val="0"/>
          <w:sz w:val="28"/>
          <w:szCs w:val="28"/>
        </w:rPr>
        <w:lastRenderedPageBreak/>
        <w:t>处，确保了我局执法监察工作朝规范化、法制化的管理轨道运行。</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六）生态环境水平不断改善。一是持续开展矿山生态修复工作。白云山矿区（一期）已于2021年5月完成了市级验收，目前正在开展白云山（二期）阿洛亚通用通航旅游综合体项目建设项目建议书和项目可研进行审查；高铁镇Ⅱ区累计完成剥离清表3.8万立方，削方45.91万立方完成工程总量的8.6%；官桥镇Ⅲ区清理高陡边坡、危岩35.22万方，长坂坡北侧边坡整形及平整已复土复绿，完成工程总量的35.8%。二是持续开展国土综合整治工作。严格按照“政府主导、部门联动、企业实施、社会参与”的模式，积极开展官桥全域国土综合整治项目试点工作。12月1日，在省厅耕地占补指标交易平台挂牌交易综合整治区内水田指标594.21亩，交易价款35652.421万元，有力推进全域国土综合整治项目建设。三是持续开展自然公园城市建设。目前《嘉鱼县社区公园及小绿地改造规划》和《嘉鱼县主城区市政设施品质提升行动规划》已编制并经规审会审议通过，滨江生态示范提升工程、城区生态停车场建设项目等规划项目进展顺利。</w:t>
      </w:r>
    </w:p>
    <w:p w:rsidR="00243172" w:rsidRDefault="009739C6">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七）民生保障措施不断加强。一是积极开展第三次国土调查。全县第三次国土调查成果已通过省级验收。将按照省验收组意见继续修改完善“三调”成果，按程序做好“三调”成果公布前的准备工作和成果资料归档，为高质量发展提供数据支撑和服务保障。二是积极开展农村不动产登记发证。全力推进“农村房地一体”发证工作，应登记发证25655宗，截至目前已累计完成登簿21755宗，完成全县农房补充调查自查自纠整改工作并顺利通过市级验收、省级抽查。三是积极开展城市不动产登记服务。截至目前，共颁发不动产权证书28474本，不动产登记证明8570本，抵押注销登记1950笔，预告注销登记</w:t>
      </w:r>
      <w:r>
        <w:rPr>
          <w:rFonts w:ascii="宋体" w:hAnsi="宋体" w:cs="宋体" w:hint="eastAsia"/>
          <w:color w:val="000000"/>
          <w:kern w:val="0"/>
          <w:sz w:val="28"/>
          <w:szCs w:val="28"/>
        </w:rPr>
        <w:lastRenderedPageBreak/>
        <w:t>49笔，查解封登记372笔。四是积极开展规划审批服务。全面启动“多审合一、多证合一”。截至目前，通过建设项目修建性详细规划18个，经线上及线下相结合方式己办结建设项目选址意见书1 宗，建设用地规划许可证42宗，建设工程规划许可证38宗(含乡镇)，建设工程竣工验收规划条件核实证明34宗(含乡镇及历史遗留楼盘)。五是积极开展营商环境优化。在不动产登记环节，将9项证明列入告知承诺制，取消土地复核验收事项，将相关指标纳入项目竣工验收规划条件核实事项并制定联合验收资料清单。六是积极开展地灾隐患治理。官桥镇阳光大道东西两侧不稳定斜坡地质灾害隐患点的治理正在施工，鱼岳镇文庙山滑坡地质灾害隐患点的治理拟于今年12月底完成项目最终验收。</w:t>
      </w:r>
    </w:p>
    <w:p w:rsidR="00243172" w:rsidRDefault="009739C6">
      <w:pPr>
        <w:pStyle w:val="1"/>
        <w:spacing w:before="0" w:after="0" w:line="360" w:lineRule="auto"/>
        <w:ind w:firstLineChars="200" w:firstLine="562"/>
        <w:rPr>
          <w:rFonts w:ascii="宋体" w:hAnsi="宋体" w:cs="宋体"/>
          <w:color w:val="000000"/>
          <w:sz w:val="28"/>
          <w:szCs w:val="28"/>
        </w:rPr>
      </w:pPr>
      <w:r>
        <w:rPr>
          <w:rFonts w:ascii="宋体" w:hAnsi="宋体" w:cs="宋体" w:hint="eastAsia"/>
          <w:color w:val="000000"/>
          <w:sz w:val="28"/>
          <w:szCs w:val="28"/>
        </w:rPr>
        <w:t>三、绩效分析及评价结论</w:t>
      </w:r>
      <w:bookmarkEnd w:id="9"/>
    </w:p>
    <w:p w:rsidR="00243172" w:rsidRDefault="009739C6">
      <w:pPr>
        <w:pStyle w:val="2"/>
        <w:spacing w:before="0" w:after="0" w:line="360" w:lineRule="auto"/>
        <w:ind w:firstLineChars="200" w:firstLine="562"/>
        <w:rPr>
          <w:rFonts w:ascii="宋体" w:eastAsia="宋体" w:hAnsi="宋体" w:cs="宋体"/>
          <w:color w:val="000000"/>
          <w:sz w:val="28"/>
          <w:szCs w:val="28"/>
        </w:rPr>
      </w:pPr>
      <w:bookmarkStart w:id="10" w:name="_Toc468008323"/>
      <w:r>
        <w:rPr>
          <w:rFonts w:ascii="宋体" w:eastAsia="宋体" w:hAnsi="宋体" w:cs="宋体" w:hint="eastAsia"/>
          <w:color w:val="000000"/>
          <w:sz w:val="28"/>
          <w:szCs w:val="28"/>
        </w:rPr>
        <w:t>（一）绩效分析</w:t>
      </w:r>
      <w:bookmarkEnd w:id="10"/>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sz w:val="28"/>
          <w:szCs w:val="28"/>
        </w:rPr>
        <w:t>（1）预算执行情况</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①预算完成率，用以反映和考核部门预算完成程度，2021年嘉鱼县</w:t>
      </w:r>
      <w:r>
        <w:rPr>
          <w:rFonts w:ascii="宋体" w:hAnsi="宋体" w:cs="宋体" w:hint="eastAsia"/>
          <w:color w:val="000000"/>
          <w:kern w:val="0"/>
          <w:sz w:val="28"/>
          <w:szCs w:val="28"/>
        </w:rPr>
        <w:t>自然资源和规划局</w:t>
      </w:r>
      <w:r>
        <w:rPr>
          <w:rFonts w:ascii="宋体" w:hAnsi="宋体" w:cs="宋体" w:hint="eastAsia"/>
          <w:kern w:val="0"/>
          <w:sz w:val="28"/>
          <w:szCs w:val="28"/>
        </w:rPr>
        <w:t>批复的部门预算数14,679.04万元，实际完成的预算数6,399.70万元，预算完成率=（预算完成数/预算数）*100%=（6399.7/14679.04）*100%=43.6%。</w:t>
      </w:r>
    </w:p>
    <w:p w:rsidR="00243172" w:rsidRDefault="009739C6">
      <w:pPr>
        <w:spacing w:line="360" w:lineRule="auto"/>
        <w:ind w:firstLineChars="200" w:firstLine="560"/>
        <w:rPr>
          <w:rFonts w:ascii="宋体" w:hAnsi="宋体" w:cs="宋体"/>
          <w:sz w:val="28"/>
          <w:szCs w:val="28"/>
        </w:rPr>
      </w:pPr>
      <w:r>
        <w:rPr>
          <w:rFonts w:ascii="宋体" w:hAnsi="宋体" w:cs="宋体" w:hint="eastAsia"/>
          <w:sz w:val="28"/>
          <w:szCs w:val="28"/>
        </w:rPr>
        <w:t>主要原因是减少预算项目实施和支付，部分项目属专项资金在财政直接支付。</w:t>
      </w:r>
    </w:p>
    <w:p w:rsidR="00243172" w:rsidRDefault="009739C6">
      <w:pPr>
        <w:spacing w:line="360" w:lineRule="auto"/>
        <w:rPr>
          <w:rFonts w:ascii="宋体" w:hAnsi="宋体" w:cs="宋体"/>
          <w:sz w:val="28"/>
          <w:szCs w:val="28"/>
        </w:rPr>
      </w:pPr>
      <w:r>
        <w:rPr>
          <w:rFonts w:ascii="宋体" w:hAnsi="宋体" w:cs="宋体" w:hint="eastAsia"/>
          <w:sz w:val="28"/>
          <w:szCs w:val="28"/>
        </w:rPr>
        <w:t xml:space="preserve">   （2）预算管理情况</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管理制度健全性。部门设置预算资金管理办法、绩效跟踪管理办法、资产管理办法等各种制度；部门内部财务管理制度完整、合规；</w:t>
      </w:r>
      <w:r>
        <w:rPr>
          <w:rFonts w:ascii="宋体" w:hAnsi="宋体" w:cs="宋体" w:hint="eastAsia"/>
          <w:kern w:val="0"/>
          <w:sz w:val="28"/>
          <w:szCs w:val="28"/>
        </w:rPr>
        <w:lastRenderedPageBreak/>
        <w:t>会计核算制度完整、合规。</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资金使用合规性和安全性。部门资金使用符合国家财经法规和财务管理制度规定；符合部门预算批复的用途资金的拨付及使用有完整的审批程序和手续。</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预算信息公开性。预算信息按规定内容公开，按规定时限公开。</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基础信息完善性。基础数据信息和会计信息资料真实、完整、准确。</w:t>
      </w:r>
    </w:p>
    <w:p w:rsidR="00243172" w:rsidRDefault="009739C6">
      <w:pPr>
        <w:spacing w:line="360" w:lineRule="auto"/>
        <w:ind w:firstLineChars="200" w:firstLine="560"/>
        <w:rPr>
          <w:rFonts w:ascii="宋体" w:hAnsi="宋体" w:cs="宋体"/>
          <w:sz w:val="28"/>
          <w:szCs w:val="28"/>
        </w:rPr>
      </w:pPr>
      <w:r>
        <w:rPr>
          <w:rFonts w:ascii="宋体" w:hAnsi="宋体" w:cs="宋体" w:hint="eastAsia"/>
          <w:sz w:val="28"/>
          <w:szCs w:val="28"/>
        </w:rPr>
        <w:t>（3）绩效管理</w:t>
      </w:r>
    </w:p>
    <w:p w:rsidR="00243172" w:rsidRDefault="009739C6">
      <w:pPr>
        <w:ind w:firstLineChars="200" w:firstLine="560"/>
        <w:rPr>
          <w:rFonts w:ascii="宋体" w:hAnsi="宋体" w:cs="宋体"/>
          <w:kern w:val="0"/>
          <w:sz w:val="28"/>
          <w:szCs w:val="28"/>
        </w:rPr>
      </w:pPr>
      <w:r>
        <w:rPr>
          <w:rFonts w:ascii="宋体" w:hAnsi="宋体" w:cs="宋体" w:hint="eastAsia"/>
          <w:kern w:val="0"/>
          <w:sz w:val="28"/>
          <w:szCs w:val="28"/>
        </w:rPr>
        <w:t>组织机构。单位组织机构健全、分工明确。绩效管理由嘉鱼县自然资源和规划局负责组织，具体实施由嘉鱼自然资源和规划局执行。</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绩效信息收集。嘉鱼县自然资源和规划局制定相关制度及验收标准对绩效进行管理,业务管理制度合法、合规、完整。</w:t>
      </w:r>
    </w:p>
    <w:p w:rsidR="00243172" w:rsidRDefault="009739C6">
      <w:pPr>
        <w:spacing w:line="360" w:lineRule="auto"/>
        <w:rPr>
          <w:rFonts w:ascii="宋体" w:hAnsi="宋体" w:cs="宋体"/>
          <w:sz w:val="28"/>
          <w:szCs w:val="28"/>
        </w:rPr>
      </w:pPr>
      <w:r>
        <w:rPr>
          <w:rFonts w:ascii="宋体" w:hAnsi="宋体" w:cs="宋体" w:hint="eastAsia"/>
          <w:sz w:val="28"/>
          <w:szCs w:val="28"/>
        </w:rPr>
        <w:t xml:space="preserve">    （4）资产管理</w:t>
      </w:r>
    </w:p>
    <w:p w:rsidR="00243172" w:rsidRDefault="009739C6">
      <w:pPr>
        <w:spacing w:line="360" w:lineRule="auto"/>
        <w:rPr>
          <w:rFonts w:ascii="宋体" w:hAnsi="宋体" w:cs="宋体"/>
          <w:kern w:val="0"/>
          <w:sz w:val="28"/>
          <w:szCs w:val="28"/>
        </w:rPr>
      </w:pPr>
      <w:r>
        <w:rPr>
          <w:rFonts w:ascii="宋体" w:hAnsi="宋体" w:cs="宋体" w:hint="eastAsia"/>
          <w:kern w:val="0"/>
          <w:sz w:val="28"/>
          <w:szCs w:val="28"/>
        </w:rPr>
        <w:t xml:space="preserve">    ① 资产管理规范性。资产采购按管理制度的规定进行采购申请、审批；资产使用规范，不存在未经批准擅自出租、出借资产行为。</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② 固定资产利用率。用以反映和考核部门固定资产使用效率程度。固定资产利用率＝（实际在用固定资产总额/所有固定资产总额）*100%＝100%，固定资产有效使用。</w:t>
      </w:r>
    </w:p>
    <w:p w:rsidR="00243172" w:rsidRDefault="009739C6">
      <w:pPr>
        <w:pStyle w:val="3"/>
        <w:spacing w:before="0" w:after="0" w:line="360" w:lineRule="auto"/>
        <w:rPr>
          <w:rFonts w:ascii="宋体" w:hAnsi="宋体" w:cs="宋体"/>
          <w:color w:val="000000"/>
          <w:sz w:val="28"/>
          <w:szCs w:val="28"/>
        </w:rPr>
      </w:pPr>
      <w:bookmarkStart w:id="11" w:name="_Toc468008326"/>
      <w:r>
        <w:rPr>
          <w:rFonts w:ascii="宋体" w:hAnsi="宋体" w:cs="宋体" w:hint="eastAsia"/>
          <w:color w:val="000000"/>
          <w:sz w:val="28"/>
          <w:szCs w:val="28"/>
        </w:rPr>
        <w:t xml:space="preserve">    3、产出</w:t>
      </w:r>
      <w:bookmarkEnd w:id="11"/>
    </w:p>
    <w:p w:rsidR="00243172" w:rsidRDefault="009739C6">
      <w:pPr>
        <w:spacing w:line="360" w:lineRule="auto"/>
        <w:rPr>
          <w:rFonts w:ascii="宋体" w:hAnsi="宋体" w:cs="宋体"/>
          <w:color w:val="000000"/>
          <w:sz w:val="28"/>
          <w:szCs w:val="28"/>
        </w:rPr>
      </w:pPr>
      <w:r>
        <w:rPr>
          <w:rFonts w:ascii="宋体" w:hAnsi="宋体" w:cs="宋体" w:hint="eastAsia"/>
          <w:color w:val="000000"/>
          <w:sz w:val="28"/>
          <w:szCs w:val="28"/>
        </w:rPr>
        <w:t xml:space="preserve">    （1）保障了基本职能的履行。</w:t>
      </w:r>
    </w:p>
    <w:p w:rsidR="00243172" w:rsidRDefault="009739C6">
      <w:pPr>
        <w:spacing w:line="360" w:lineRule="auto"/>
        <w:rPr>
          <w:rFonts w:ascii="宋体" w:hAnsi="宋体" w:cs="宋体"/>
          <w:color w:val="000000"/>
          <w:sz w:val="28"/>
          <w:szCs w:val="28"/>
        </w:rPr>
      </w:pPr>
      <w:r>
        <w:rPr>
          <w:rFonts w:ascii="宋体" w:hAnsi="宋体" w:cs="宋体" w:hint="eastAsia"/>
          <w:color w:val="000000"/>
          <w:sz w:val="28"/>
          <w:szCs w:val="28"/>
        </w:rPr>
        <w:t xml:space="preserve">    保障了职工工资,津补贴的及时足额发放,没有出现拖欠职工工资,离退休费用等现象；二是保障了单位的正常运转,各项工作开展顺</w:t>
      </w:r>
      <w:r>
        <w:rPr>
          <w:rFonts w:ascii="宋体" w:hAnsi="宋体" w:cs="宋体" w:hint="eastAsia"/>
          <w:color w:val="000000"/>
          <w:sz w:val="28"/>
          <w:szCs w:val="28"/>
        </w:rPr>
        <w:lastRenderedPageBreak/>
        <w:t>利；三是资金使用无虚列支出及随意使用现象,无大额现金支付现象。</w:t>
      </w:r>
    </w:p>
    <w:p w:rsidR="00243172" w:rsidRDefault="009739C6">
      <w:pPr>
        <w:spacing w:line="360" w:lineRule="auto"/>
        <w:rPr>
          <w:rFonts w:ascii="宋体" w:hAnsi="宋体" w:cs="宋体"/>
          <w:color w:val="000000"/>
          <w:sz w:val="28"/>
          <w:szCs w:val="28"/>
        </w:rPr>
      </w:pPr>
      <w:r>
        <w:rPr>
          <w:rFonts w:ascii="宋体" w:hAnsi="宋体" w:cs="宋体" w:hint="eastAsia"/>
          <w:color w:val="000000"/>
          <w:sz w:val="28"/>
          <w:szCs w:val="28"/>
        </w:rPr>
        <w:t xml:space="preserve">    （2）保证项目的有效实施，提升项目管理水平。</w:t>
      </w:r>
    </w:p>
    <w:p w:rsidR="00243172" w:rsidRDefault="009739C6">
      <w:pPr>
        <w:spacing w:line="360" w:lineRule="auto"/>
        <w:rPr>
          <w:rFonts w:ascii="宋体" w:hAnsi="宋体" w:cs="宋体"/>
          <w:color w:val="000000"/>
          <w:kern w:val="0"/>
          <w:sz w:val="28"/>
          <w:szCs w:val="28"/>
        </w:rPr>
      </w:pPr>
      <w:r>
        <w:rPr>
          <w:rFonts w:ascii="宋体" w:hAnsi="宋体" w:cs="宋体" w:hint="eastAsia"/>
          <w:color w:val="000000"/>
          <w:kern w:val="0"/>
          <w:sz w:val="28"/>
          <w:szCs w:val="28"/>
        </w:rPr>
        <w:t xml:space="preserve">    保障项目资金及时到位，合理有效使用财政资源、提高财政资金使用效益，保障财政投入能够实现预期的建设目标，并发挥最大的效。</w:t>
      </w:r>
    </w:p>
    <w:p w:rsidR="00243172" w:rsidRDefault="009739C6">
      <w:pPr>
        <w:spacing w:line="360" w:lineRule="auto"/>
        <w:rPr>
          <w:rFonts w:ascii="宋体" w:hAnsi="宋体" w:cs="宋体"/>
          <w:sz w:val="28"/>
          <w:szCs w:val="28"/>
        </w:rPr>
      </w:pPr>
      <w:r>
        <w:rPr>
          <w:rFonts w:ascii="宋体" w:hAnsi="宋体" w:cs="宋体" w:hint="eastAsia"/>
          <w:color w:val="000000"/>
          <w:sz w:val="28"/>
          <w:szCs w:val="28"/>
        </w:rPr>
        <w:t xml:space="preserve">    （3）完成了重要职能工作和共性工作目标。</w:t>
      </w:r>
    </w:p>
    <w:p w:rsidR="00243172" w:rsidRDefault="009739C6">
      <w:pPr>
        <w:pStyle w:val="3"/>
        <w:spacing w:before="0" w:after="0" w:line="360" w:lineRule="auto"/>
        <w:rPr>
          <w:rFonts w:ascii="宋体" w:hAnsi="宋体" w:cs="宋体"/>
          <w:color w:val="000000"/>
          <w:sz w:val="28"/>
          <w:szCs w:val="28"/>
        </w:rPr>
      </w:pPr>
      <w:bookmarkStart w:id="12" w:name="_Toc468008327"/>
      <w:r>
        <w:rPr>
          <w:rFonts w:ascii="宋体" w:hAnsi="宋体" w:cs="宋体" w:hint="eastAsia"/>
          <w:color w:val="000000"/>
          <w:sz w:val="28"/>
          <w:szCs w:val="28"/>
        </w:rPr>
        <w:t xml:space="preserve">    4、效果</w:t>
      </w:r>
      <w:bookmarkEnd w:id="12"/>
    </w:p>
    <w:p w:rsidR="00243172" w:rsidRDefault="009739C6">
      <w:pPr>
        <w:spacing w:line="360" w:lineRule="auto"/>
        <w:rPr>
          <w:rFonts w:ascii="宋体" w:hAnsi="宋体" w:cs="宋体"/>
          <w:color w:val="000000"/>
          <w:sz w:val="28"/>
          <w:szCs w:val="28"/>
        </w:rPr>
      </w:pPr>
      <w:r>
        <w:rPr>
          <w:rFonts w:ascii="宋体" w:hAnsi="宋体" w:cs="宋体" w:hint="eastAsia"/>
          <w:color w:val="000000"/>
          <w:sz w:val="28"/>
          <w:szCs w:val="28"/>
        </w:rPr>
        <w:t xml:space="preserve">    （1）经济效益。加强地方经济建设，提高地方经济建立能力。避免地质灾害、矿山地质环境恶化，促进经济发展、提高农民收入。</w:t>
      </w:r>
    </w:p>
    <w:p w:rsidR="00243172" w:rsidRDefault="009739C6">
      <w:pPr>
        <w:spacing w:line="360" w:lineRule="auto"/>
        <w:ind w:firstLine="570"/>
        <w:rPr>
          <w:rFonts w:ascii="宋体" w:hAnsi="宋体" w:cs="宋体"/>
          <w:color w:val="000000"/>
          <w:sz w:val="28"/>
          <w:szCs w:val="28"/>
        </w:rPr>
      </w:pPr>
      <w:r>
        <w:rPr>
          <w:rFonts w:ascii="宋体" w:hAnsi="宋体" w:cs="宋体" w:hint="eastAsia"/>
          <w:color w:val="000000"/>
          <w:sz w:val="28"/>
          <w:szCs w:val="28"/>
        </w:rPr>
        <w:t>（2）社会效益。加大供地力度，了解土地资源状况，完善了土地资源信息，提高资源利用率。增强办公效率，提高服务质量及正确率。降低群众办事等待时间，节约时间成本。</w:t>
      </w:r>
    </w:p>
    <w:p w:rsidR="00243172" w:rsidRDefault="009739C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（3）生态效益。</w:t>
      </w:r>
      <w:r>
        <w:rPr>
          <w:rFonts w:ascii="宋体" w:hAnsi="宋体" w:cs="宋体" w:hint="eastAsia"/>
          <w:color w:val="000000"/>
          <w:kern w:val="0"/>
          <w:sz w:val="28"/>
          <w:szCs w:val="28"/>
        </w:rPr>
        <w:t>生态改善，实现矿产资源开发利用与生态环境保护协调发展，不断改善环境质量。土地改良，提高土地利用率和耕地质量。环境保护，保护生态环境，提高绿化面积，保护原有生态。法律保障，推进机制创新，提供法制保障。</w:t>
      </w:r>
    </w:p>
    <w:p w:rsidR="00243172" w:rsidRDefault="009739C6">
      <w:pPr>
        <w:pStyle w:val="3"/>
        <w:spacing w:before="0" w:after="0" w:line="360" w:lineRule="auto"/>
        <w:rPr>
          <w:rFonts w:ascii="宋体" w:hAnsi="宋体" w:cs="宋体"/>
          <w:color w:val="000000"/>
          <w:sz w:val="28"/>
          <w:szCs w:val="28"/>
        </w:rPr>
      </w:pPr>
      <w:bookmarkStart w:id="13" w:name="_Toc468008328"/>
      <w:r>
        <w:rPr>
          <w:rFonts w:ascii="宋体" w:hAnsi="宋体" w:cs="宋体" w:hint="eastAsia"/>
          <w:color w:val="000000"/>
          <w:sz w:val="28"/>
          <w:szCs w:val="28"/>
        </w:rPr>
        <w:t xml:space="preserve">    5、绩效目标完成情况分析。</w:t>
      </w:r>
      <w:bookmarkEnd w:id="13"/>
    </w:p>
    <w:p w:rsidR="00243172" w:rsidRDefault="009739C6">
      <w:pPr>
        <w:spacing w:line="360" w:lineRule="auto"/>
        <w:ind w:firstLineChars="200" w:firstLine="560"/>
        <w:rPr>
          <w:rFonts w:ascii="宋体" w:hAnsi="宋体" w:cs="宋体"/>
          <w:color w:val="000000"/>
          <w:sz w:val="28"/>
          <w:szCs w:val="28"/>
          <w:highlight w:val="yellow"/>
        </w:rPr>
      </w:pPr>
      <w:r>
        <w:rPr>
          <w:rFonts w:ascii="宋体" w:hAnsi="宋体" w:cs="宋体" w:hint="eastAsia"/>
          <w:color w:val="000000"/>
          <w:kern w:val="0"/>
          <w:sz w:val="28"/>
          <w:szCs w:val="28"/>
        </w:rPr>
        <w:t>从前述绩效分析，部门产出成本、产出时效、产出质量等指标均基本达到或超过绩效目标，部门的工作有序推进、实施，使国土资源管理工作得到高效、稳定运行，工作水平得到提高，从而为社会有序运转工作提供了保障，部门的经济、社会和生态效益广，可持续性发展较好。</w:t>
      </w:r>
    </w:p>
    <w:p w:rsidR="00243172" w:rsidRDefault="009739C6">
      <w:pPr>
        <w:pStyle w:val="2"/>
        <w:spacing w:before="0" w:after="0" w:line="360" w:lineRule="auto"/>
        <w:ind w:firstLineChars="200" w:firstLine="562"/>
        <w:rPr>
          <w:rFonts w:ascii="宋体" w:eastAsia="宋体" w:hAnsi="宋体" w:cs="宋体"/>
          <w:sz w:val="28"/>
          <w:szCs w:val="28"/>
        </w:rPr>
      </w:pPr>
      <w:bookmarkStart w:id="14" w:name="_Toc468008329"/>
      <w:r>
        <w:rPr>
          <w:rFonts w:ascii="宋体" w:eastAsia="宋体" w:hAnsi="宋体" w:cs="宋体" w:hint="eastAsia"/>
          <w:color w:val="000000"/>
          <w:sz w:val="28"/>
          <w:szCs w:val="28"/>
        </w:rPr>
        <w:lastRenderedPageBreak/>
        <w:t>（二）评价结论</w:t>
      </w:r>
      <w:bookmarkEnd w:id="14"/>
    </w:p>
    <w:p w:rsidR="00243172" w:rsidRDefault="009739C6">
      <w:pPr>
        <w:pStyle w:val="3"/>
        <w:spacing w:before="0" w:after="0" w:line="360" w:lineRule="auto"/>
        <w:ind w:left="562"/>
        <w:rPr>
          <w:rFonts w:ascii="宋体" w:hAnsi="宋体" w:cs="宋体"/>
          <w:sz w:val="28"/>
          <w:szCs w:val="28"/>
        </w:rPr>
      </w:pPr>
      <w:bookmarkStart w:id="15" w:name="_Toc468008330"/>
      <w:r>
        <w:rPr>
          <w:rFonts w:ascii="宋体" w:hAnsi="宋体" w:cs="宋体" w:hint="eastAsia"/>
          <w:sz w:val="28"/>
          <w:szCs w:val="28"/>
        </w:rPr>
        <w:t>1、评分结果</w:t>
      </w:r>
      <w:bookmarkEnd w:id="15"/>
    </w:p>
    <w:p w:rsidR="00243172" w:rsidRDefault="009739C6">
      <w:pPr>
        <w:pStyle w:val="3"/>
        <w:spacing w:before="0" w:after="0" w:line="360" w:lineRule="auto"/>
        <w:ind w:firstLineChars="200" w:firstLine="560"/>
        <w:rPr>
          <w:rFonts w:ascii="宋体" w:hAnsi="宋体" w:cs="宋体"/>
          <w:sz w:val="28"/>
          <w:szCs w:val="28"/>
        </w:rPr>
      </w:pPr>
      <w:r>
        <w:rPr>
          <w:rFonts w:ascii="宋体" w:hAnsi="宋体" w:cs="宋体" w:hint="eastAsia"/>
          <w:b w:val="0"/>
          <w:kern w:val="0"/>
          <w:sz w:val="28"/>
          <w:szCs w:val="28"/>
        </w:rPr>
        <w:t>（1）预算执行率分值10分，得分5.6分；</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（2）预算调整率分值10分，得分4分；</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（3）产出指标分值50分，得分43分；</w:t>
      </w:r>
    </w:p>
    <w:p w:rsidR="00243172" w:rsidRDefault="009739C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（4）效益指标分值30分，得分28分。</w:t>
      </w:r>
    </w:p>
    <w:p w:rsidR="00243172" w:rsidRDefault="009739C6">
      <w:pPr>
        <w:spacing w:line="360" w:lineRule="auto"/>
        <w:ind w:firstLineChars="200" w:firstLine="560"/>
        <w:rPr>
          <w:rFonts w:ascii="宋体" w:hAnsi="宋体" w:cs="宋体"/>
          <w:sz w:val="28"/>
          <w:szCs w:val="28"/>
        </w:rPr>
      </w:pPr>
      <w:r>
        <w:rPr>
          <w:rFonts w:ascii="宋体" w:hAnsi="宋体" w:cs="宋体" w:hint="eastAsia"/>
          <w:kern w:val="0"/>
          <w:sz w:val="28"/>
          <w:szCs w:val="28"/>
        </w:rPr>
        <w:t>部门的综合评分结果80.6分。</w:t>
      </w:r>
    </w:p>
    <w:p w:rsidR="00243172" w:rsidRDefault="009739C6">
      <w:pPr>
        <w:pStyle w:val="3"/>
        <w:spacing w:before="0" w:after="0" w:line="360" w:lineRule="auto"/>
        <w:rPr>
          <w:rFonts w:ascii="宋体" w:hAnsi="宋体" w:cs="宋体"/>
          <w:color w:val="000000"/>
          <w:sz w:val="28"/>
          <w:szCs w:val="28"/>
        </w:rPr>
      </w:pPr>
      <w:bookmarkStart w:id="16" w:name="_Toc468008331"/>
      <w:r>
        <w:rPr>
          <w:rFonts w:ascii="宋体" w:hAnsi="宋体" w:cs="宋体" w:hint="eastAsia"/>
          <w:color w:val="000000"/>
          <w:sz w:val="28"/>
          <w:szCs w:val="28"/>
        </w:rPr>
        <w:t xml:space="preserve">   2、主要结论</w:t>
      </w:r>
      <w:bookmarkEnd w:id="16"/>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从总体上看，2021年度嘉鱼县自然资源和规划局整体绩效目标的依据充分，整体绩效目标与部门履职相符；组织管理机构健全，规章制度完善；资金使用严格执行财务制度；预算管理、资产管理、绩效评价目标实现较为理想，达到预期目的；年初预算与预算执行存在一定偏差，主要原因是减少预算项目实施和支付，部分项目属专项资金在财政直接支付。</w:t>
      </w:r>
    </w:p>
    <w:p w:rsidR="00243172" w:rsidRDefault="009739C6">
      <w:pPr>
        <w:pStyle w:val="1"/>
        <w:numPr>
          <w:ilvl w:val="0"/>
          <w:numId w:val="1"/>
        </w:numPr>
        <w:spacing w:before="0" w:after="0" w:line="360" w:lineRule="auto"/>
        <w:ind w:firstLineChars="200" w:firstLine="562"/>
        <w:rPr>
          <w:rFonts w:ascii="宋体" w:hAnsi="宋体" w:cs="宋体"/>
          <w:color w:val="000000"/>
          <w:sz w:val="28"/>
          <w:szCs w:val="28"/>
        </w:rPr>
      </w:pPr>
      <w:bookmarkStart w:id="17" w:name="_Toc468008332"/>
      <w:r>
        <w:rPr>
          <w:rFonts w:ascii="宋体" w:hAnsi="宋体" w:cs="宋体" w:hint="eastAsia"/>
          <w:color w:val="000000"/>
          <w:sz w:val="28"/>
          <w:szCs w:val="28"/>
        </w:rPr>
        <w:t>下一步工作安排</w:t>
      </w:r>
      <w:bookmarkStart w:id="18" w:name="_Toc468008333"/>
      <w:bookmarkEnd w:id="17"/>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2022年，是十四五规划的第二年，是第二个百年奋斗目标的接续之年。我局将紧紧围绕县委县政府的决策部署，抢抓进度、攻坚克难，推动我县自然资源和规划事业高质量发展，为建设“五高新嘉鱼”再立新功。</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（一）持续深化党建引领。坚持把党的政治建设摆在首位，认真学习贯彻习近平新时代中国特色社会主义思想，树牢“四个意识”,坚定“四个自信”,坚决做到“两个维护”， 提高政治判断力、政治</w:t>
      </w:r>
      <w:r>
        <w:rPr>
          <w:rFonts w:ascii="宋体" w:hAnsi="宋体" w:cs="宋体" w:hint="eastAsia"/>
          <w:color w:val="000000"/>
          <w:kern w:val="0"/>
          <w:sz w:val="28"/>
          <w:szCs w:val="28"/>
        </w:rPr>
        <w:lastRenderedPageBreak/>
        <w:t>领悟力、政治执行力，推动理论武装走深走实走心。严明政治纪律和政治规矩，推进政治监督具体化常态化，坚决做到令行禁止、政令畅通，确保党中央决策部署和省市县工作要求在我局落地生根。</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持续完善空间规划。一是坚持不懈推进国土空间规划编制。积极有序推进乡镇国土空间规划、村庄规划编制，继续配合征地开展过渡期落地方案编制工作，夯实项目用地基础，推进国土空间规划“一张图”建设。二是坚持不懈推进自然公园城市建设。继续完善《嘉鱼县国土空间总体规划2020-2035》和《嘉鱼县建优建美长江流域公园城市规划研究》，加强规划编制管理，逐步提高城区控制性详细规划覆盖率，使得各项目有规可依。</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三）持续落实项目保障。一是多方位保障建设用地。坚持“项目为王”理念，提高年度新增建设用地计划执行效率，进一步深挖摸排资源，持续加大闲置土地处置力度，积极盘活存量建设用地，做好“亩产论英雄”评价工作，搞好“店小二”服务。二是多渠道保障土地供应。规范工业用地“标准地”出让，支持企业开展“零增地”技改，允许重点技改项目容积率提升至2.0。</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四）持续谋划生态建设。一是持续做好矿山生态修复。按照嘉鱼县关停矿山生态修复方案，在2022年11月30日前完成高铁岭镇矿区（Ⅱ区）、官桥镇梅山矿区（Ⅲ区）、高铁岭镇范家山（Ⅳ区）生态修复工作。二是持续加快国土综合整治项目建设。根据《关于推进全域国土综合整治的意见》，积极推进渡普镇与鱼岳镇全域国土综合整治项目申报工作，全力破解项目建设难点问题。</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五）持续优化便民服务。一是不断提升不动产登记水平。完善不动产信息互通共享和“互联网+不动产登记”，逐步实现不动产登记转移登记+水电气网视“一证通办”。二是不断推进房地一体确权登记。加快农村不动产确权登记发证工作，着力解决原有历史农房不符合规划等不能发证问题，切实保护农民产权。三是不断优化营商环境。深化规划用地“多审合一、多证合一”和工程建设项目“多测合一”改革，进一步完善建设项目水电气接入外线工程并联审批；推进红色物业建设，优化县住宅小区配套公共服务设施规范化建设管理，提高百姓获得感、幸福感。</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（一）主要经验及做法</w:t>
      </w:r>
      <w:bookmarkEnd w:id="18"/>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绩效目标设定合理、明确，在职人员控制在编制范围内。“三公经费”控制率较好,小于预算支出额，主要是</w:t>
      </w:r>
      <w:bookmarkStart w:id="19" w:name="_Toc468008334"/>
      <w:r>
        <w:rPr>
          <w:rFonts w:ascii="宋体" w:hAnsi="宋体" w:cs="宋体" w:hint="eastAsia"/>
          <w:color w:val="000000"/>
          <w:kern w:val="0"/>
          <w:sz w:val="28"/>
          <w:szCs w:val="28"/>
        </w:rPr>
        <w:t>认真贯彻落实中央八项规定要求和相关法规，厉行节约原则。</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w:t>
      </w:r>
      <w:bookmarkEnd w:id="19"/>
      <w:r>
        <w:rPr>
          <w:rFonts w:ascii="宋体" w:hAnsi="宋体" w:cs="宋体" w:hint="eastAsia"/>
          <w:color w:val="000000"/>
          <w:kern w:val="0"/>
          <w:sz w:val="28"/>
          <w:szCs w:val="28"/>
        </w:rPr>
        <w:t>存在的主要问题</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我单位基本支出预算，保障了机关日常正运转，项目支出预算认真履行好部门职能职责，充分发挥了项目资金的作用，圆满完成了县委、县政府下达的各项业务目标任务。</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1、年初预算数与决算数偏差较大，缺少预见性。</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2、项目有较大增减变化，项目推进较慢，预算执行进度受到一定影响。</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3、因单位全额编制少，工作任务量大，导致经费压力大。</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（三）改进措施和有关建议</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1、做好、做细预算基础工作，提高预算的准确性。</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2、加大工作力度，将工作做细做实，提高工作效率，加快项目实施进度，加强预算执行进度。加大项目实施可行性评估，使其项目实施后发挥其应有的经济和社会效益。</w:t>
      </w:r>
    </w:p>
    <w:p w:rsidR="00243172" w:rsidRDefault="009739C6">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3、对相关人员加强培训，特别是针对《预算法》、《行政事业单位会计制度》等学习培训，规范部门预算收支核算，切实提高部门预算收支管理水平。</w:t>
      </w:r>
    </w:p>
    <w:p w:rsidR="00243172" w:rsidRDefault="00243172">
      <w:pPr>
        <w:spacing w:line="360" w:lineRule="auto"/>
        <w:ind w:firstLineChars="200" w:firstLine="560"/>
        <w:rPr>
          <w:rFonts w:ascii="宋体" w:hAnsi="宋体" w:cs="宋体"/>
          <w:color w:val="000000"/>
          <w:kern w:val="0"/>
          <w:sz w:val="28"/>
          <w:szCs w:val="28"/>
        </w:rPr>
      </w:pPr>
    </w:p>
    <w:p w:rsidR="00243172" w:rsidRDefault="00243172">
      <w:pPr>
        <w:spacing w:line="360" w:lineRule="auto"/>
        <w:ind w:firstLineChars="200" w:firstLine="560"/>
        <w:rPr>
          <w:rFonts w:ascii="宋体" w:hAnsi="宋体" w:cs="宋体"/>
          <w:color w:val="000000"/>
          <w:kern w:val="0"/>
          <w:sz w:val="28"/>
          <w:szCs w:val="28"/>
        </w:rPr>
      </w:pPr>
    </w:p>
    <w:p w:rsidR="00243172" w:rsidRDefault="00243172">
      <w:pPr>
        <w:spacing w:line="360" w:lineRule="auto"/>
        <w:ind w:firstLineChars="200" w:firstLine="560"/>
        <w:rPr>
          <w:rFonts w:ascii="宋体" w:hAnsi="宋体" w:cs="宋体"/>
          <w:color w:val="000000"/>
          <w:kern w:val="0"/>
          <w:sz w:val="28"/>
          <w:szCs w:val="28"/>
        </w:rPr>
      </w:pPr>
    </w:p>
    <w:sectPr w:rsidR="00243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DD675"/>
    <w:multiLevelType w:val="singleLevel"/>
    <w:tmpl w:val="4ACDD67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ZGZiNzZiNDVlOGViOWVmM2JhOTY0NGJkNjUyYzgifQ=="/>
  </w:docVars>
  <w:rsids>
    <w:rsidRoot w:val="00954DFD"/>
    <w:rsid w:val="00026FDE"/>
    <w:rsid w:val="0003484C"/>
    <w:rsid w:val="00037AAE"/>
    <w:rsid w:val="000409AF"/>
    <w:rsid w:val="00054A1F"/>
    <w:rsid w:val="000C2957"/>
    <w:rsid w:val="00136EBB"/>
    <w:rsid w:val="001416A2"/>
    <w:rsid w:val="001477B4"/>
    <w:rsid w:val="00180514"/>
    <w:rsid w:val="001902AA"/>
    <w:rsid w:val="001B0E52"/>
    <w:rsid w:val="00224503"/>
    <w:rsid w:val="00243172"/>
    <w:rsid w:val="00264B0D"/>
    <w:rsid w:val="00297B15"/>
    <w:rsid w:val="002C023F"/>
    <w:rsid w:val="002D0D05"/>
    <w:rsid w:val="002D15E7"/>
    <w:rsid w:val="002F2DAB"/>
    <w:rsid w:val="002F5D33"/>
    <w:rsid w:val="00300DC1"/>
    <w:rsid w:val="00335551"/>
    <w:rsid w:val="00454020"/>
    <w:rsid w:val="004B000E"/>
    <w:rsid w:val="0051422A"/>
    <w:rsid w:val="00523647"/>
    <w:rsid w:val="005633FB"/>
    <w:rsid w:val="005956AA"/>
    <w:rsid w:val="0059784A"/>
    <w:rsid w:val="005A22A9"/>
    <w:rsid w:val="005E53B1"/>
    <w:rsid w:val="0066385D"/>
    <w:rsid w:val="006730A3"/>
    <w:rsid w:val="00690161"/>
    <w:rsid w:val="006B70DA"/>
    <w:rsid w:val="006E268E"/>
    <w:rsid w:val="006E2EA0"/>
    <w:rsid w:val="006E5841"/>
    <w:rsid w:val="006E66C3"/>
    <w:rsid w:val="00764E69"/>
    <w:rsid w:val="007A3BA2"/>
    <w:rsid w:val="007D56BB"/>
    <w:rsid w:val="007D62FD"/>
    <w:rsid w:val="00837A64"/>
    <w:rsid w:val="008B6541"/>
    <w:rsid w:val="00905700"/>
    <w:rsid w:val="009275BD"/>
    <w:rsid w:val="0094490B"/>
    <w:rsid w:val="00945099"/>
    <w:rsid w:val="00953F54"/>
    <w:rsid w:val="00954DFD"/>
    <w:rsid w:val="009739C6"/>
    <w:rsid w:val="009B5B6E"/>
    <w:rsid w:val="00A13EED"/>
    <w:rsid w:val="00A16C3D"/>
    <w:rsid w:val="00A340AA"/>
    <w:rsid w:val="00A41AAE"/>
    <w:rsid w:val="00A457CD"/>
    <w:rsid w:val="00A46E50"/>
    <w:rsid w:val="00A63039"/>
    <w:rsid w:val="00A81360"/>
    <w:rsid w:val="00AB1EF3"/>
    <w:rsid w:val="00AD3F23"/>
    <w:rsid w:val="00B245A6"/>
    <w:rsid w:val="00B571FB"/>
    <w:rsid w:val="00B76F27"/>
    <w:rsid w:val="00BC20B1"/>
    <w:rsid w:val="00BD4108"/>
    <w:rsid w:val="00C35B07"/>
    <w:rsid w:val="00C520A3"/>
    <w:rsid w:val="00C93705"/>
    <w:rsid w:val="00C97C5C"/>
    <w:rsid w:val="00CA38F0"/>
    <w:rsid w:val="00CE179D"/>
    <w:rsid w:val="00CE5EB9"/>
    <w:rsid w:val="00CF1F62"/>
    <w:rsid w:val="00D25021"/>
    <w:rsid w:val="00D26484"/>
    <w:rsid w:val="00D65311"/>
    <w:rsid w:val="00D774E5"/>
    <w:rsid w:val="00D9158D"/>
    <w:rsid w:val="00D9771C"/>
    <w:rsid w:val="00DE1080"/>
    <w:rsid w:val="00E029E5"/>
    <w:rsid w:val="00E40DAE"/>
    <w:rsid w:val="00E44A0D"/>
    <w:rsid w:val="00E728BD"/>
    <w:rsid w:val="00E82C83"/>
    <w:rsid w:val="00F01ED4"/>
    <w:rsid w:val="00F252E7"/>
    <w:rsid w:val="00FC74EF"/>
    <w:rsid w:val="00FE24BF"/>
    <w:rsid w:val="01DE639E"/>
    <w:rsid w:val="02AD0D79"/>
    <w:rsid w:val="02B726F0"/>
    <w:rsid w:val="031A510E"/>
    <w:rsid w:val="04A27003"/>
    <w:rsid w:val="04A61B57"/>
    <w:rsid w:val="05573F2B"/>
    <w:rsid w:val="06C87E37"/>
    <w:rsid w:val="06FE6853"/>
    <w:rsid w:val="07203F8A"/>
    <w:rsid w:val="076A271C"/>
    <w:rsid w:val="08067E4D"/>
    <w:rsid w:val="080E61EF"/>
    <w:rsid w:val="08710081"/>
    <w:rsid w:val="095464BE"/>
    <w:rsid w:val="09D67556"/>
    <w:rsid w:val="0A9E4642"/>
    <w:rsid w:val="0AA51BF0"/>
    <w:rsid w:val="0AF772B1"/>
    <w:rsid w:val="0C3230CC"/>
    <w:rsid w:val="0CC07965"/>
    <w:rsid w:val="0D460D43"/>
    <w:rsid w:val="0EAC5968"/>
    <w:rsid w:val="0EED2A60"/>
    <w:rsid w:val="10A6236E"/>
    <w:rsid w:val="10FE1C1B"/>
    <w:rsid w:val="11832581"/>
    <w:rsid w:val="11EA60DB"/>
    <w:rsid w:val="12302300"/>
    <w:rsid w:val="149C3862"/>
    <w:rsid w:val="156F566C"/>
    <w:rsid w:val="15CC6217"/>
    <w:rsid w:val="178600BF"/>
    <w:rsid w:val="18820AB4"/>
    <w:rsid w:val="19E9274E"/>
    <w:rsid w:val="1A205ED1"/>
    <w:rsid w:val="1BA13722"/>
    <w:rsid w:val="1BA74976"/>
    <w:rsid w:val="1C3A001E"/>
    <w:rsid w:val="1CBE740D"/>
    <w:rsid w:val="1D1F1030"/>
    <w:rsid w:val="1D674107"/>
    <w:rsid w:val="1E53767A"/>
    <w:rsid w:val="1F6C136C"/>
    <w:rsid w:val="201307BD"/>
    <w:rsid w:val="21244B0E"/>
    <w:rsid w:val="212B4F6D"/>
    <w:rsid w:val="22341DE4"/>
    <w:rsid w:val="23175089"/>
    <w:rsid w:val="23E7405F"/>
    <w:rsid w:val="24992724"/>
    <w:rsid w:val="24E764E4"/>
    <w:rsid w:val="256D4A54"/>
    <w:rsid w:val="271D60E2"/>
    <w:rsid w:val="28123D10"/>
    <w:rsid w:val="28790DB9"/>
    <w:rsid w:val="2A230576"/>
    <w:rsid w:val="2D15545D"/>
    <w:rsid w:val="2E013E0C"/>
    <w:rsid w:val="2F78789D"/>
    <w:rsid w:val="2FC373D3"/>
    <w:rsid w:val="30992A06"/>
    <w:rsid w:val="30B6084A"/>
    <w:rsid w:val="31C15118"/>
    <w:rsid w:val="32281F98"/>
    <w:rsid w:val="324E3341"/>
    <w:rsid w:val="32746274"/>
    <w:rsid w:val="32793735"/>
    <w:rsid w:val="334F7C87"/>
    <w:rsid w:val="33CC3C39"/>
    <w:rsid w:val="34AB5FCC"/>
    <w:rsid w:val="35033FEA"/>
    <w:rsid w:val="35447C80"/>
    <w:rsid w:val="36066B31"/>
    <w:rsid w:val="375C09A3"/>
    <w:rsid w:val="376947DD"/>
    <w:rsid w:val="379826A2"/>
    <w:rsid w:val="37EC5783"/>
    <w:rsid w:val="38276CCA"/>
    <w:rsid w:val="38746EFD"/>
    <w:rsid w:val="38C53D1E"/>
    <w:rsid w:val="38F902C8"/>
    <w:rsid w:val="390D7856"/>
    <w:rsid w:val="397F7F0F"/>
    <w:rsid w:val="39832AA3"/>
    <w:rsid w:val="39B840AC"/>
    <w:rsid w:val="39E80285"/>
    <w:rsid w:val="39F741A6"/>
    <w:rsid w:val="3B113F06"/>
    <w:rsid w:val="3C116889"/>
    <w:rsid w:val="3D9B7229"/>
    <w:rsid w:val="407B1E25"/>
    <w:rsid w:val="408F106D"/>
    <w:rsid w:val="40E053CA"/>
    <w:rsid w:val="41175BF7"/>
    <w:rsid w:val="422215BD"/>
    <w:rsid w:val="43750E4C"/>
    <w:rsid w:val="43D021FC"/>
    <w:rsid w:val="44897AB7"/>
    <w:rsid w:val="449018CB"/>
    <w:rsid w:val="459545E4"/>
    <w:rsid w:val="45981BE7"/>
    <w:rsid w:val="45A321A4"/>
    <w:rsid w:val="460A6426"/>
    <w:rsid w:val="48000991"/>
    <w:rsid w:val="48C976CF"/>
    <w:rsid w:val="493A3D0C"/>
    <w:rsid w:val="49FA39AB"/>
    <w:rsid w:val="4AA36D76"/>
    <w:rsid w:val="4B416F14"/>
    <w:rsid w:val="4B5D1DE1"/>
    <w:rsid w:val="4B6B681C"/>
    <w:rsid w:val="4C0B1A6D"/>
    <w:rsid w:val="4C3E3269"/>
    <w:rsid w:val="4C934D10"/>
    <w:rsid w:val="4D3E0C08"/>
    <w:rsid w:val="4DEB37DE"/>
    <w:rsid w:val="4DED3D74"/>
    <w:rsid w:val="4EB938B3"/>
    <w:rsid w:val="4F6665FD"/>
    <w:rsid w:val="4F81339F"/>
    <w:rsid w:val="4FC40356"/>
    <w:rsid w:val="506879C5"/>
    <w:rsid w:val="508C3736"/>
    <w:rsid w:val="50920454"/>
    <w:rsid w:val="514D0612"/>
    <w:rsid w:val="51ED6225"/>
    <w:rsid w:val="5207542B"/>
    <w:rsid w:val="533F3261"/>
    <w:rsid w:val="53A50870"/>
    <w:rsid w:val="54787ACE"/>
    <w:rsid w:val="54DC666A"/>
    <w:rsid w:val="557B6E22"/>
    <w:rsid w:val="56AB0BC2"/>
    <w:rsid w:val="578B3773"/>
    <w:rsid w:val="57F86475"/>
    <w:rsid w:val="58CE6FC1"/>
    <w:rsid w:val="592F6872"/>
    <w:rsid w:val="5B2A0224"/>
    <w:rsid w:val="5B514858"/>
    <w:rsid w:val="5BC82AA0"/>
    <w:rsid w:val="5C3C64DA"/>
    <w:rsid w:val="5D122B39"/>
    <w:rsid w:val="5D170190"/>
    <w:rsid w:val="5DA64706"/>
    <w:rsid w:val="5E560A4B"/>
    <w:rsid w:val="5EEB7068"/>
    <w:rsid w:val="5FA2130E"/>
    <w:rsid w:val="600C149D"/>
    <w:rsid w:val="606744A7"/>
    <w:rsid w:val="608760BA"/>
    <w:rsid w:val="614B46DB"/>
    <w:rsid w:val="61BC1608"/>
    <w:rsid w:val="62A54EE3"/>
    <w:rsid w:val="63820C02"/>
    <w:rsid w:val="639555E7"/>
    <w:rsid w:val="64425058"/>
    <w:rsid w:val="649E7C9D"/>
    <w:rsid w:val="64BD77AB"/>
    <w:rsid w:val="657A4712"/>
    <w:rsid w:val="675A3375"/>
    <w:rsid w:val="67867A52"/>
    <w:rsid w:val="68160018"/>
    <w:rsid w:val="6830376D"/>
    <w:rsid w:val="68804CFA"/>
    <w:rsid w:val="68B77DB2"/>
    <w:rsid w:val="695521FD"/>
    <w:rsid w:val="69AD182C"/>
    <w:rsid w:val="69EE1970"/>
    <w:rsid w:val="6ACB1BB6"/>
    <w:rsid w:val="6AD541DF"/>
    <w:rsid w:val="6B0F4E46"/>
    <w:rsid w:val="6B653E2F"/>
    <w:rsid w:val="6B9B54E8"/>
    <w:rsid w:val="6C4C55A7"/>
    <w:rsid w:val="6CC36B2E"/>
    <w:rsid w:val="6CFB3289"/>
    <w:rsid w:val="6ECA1C89"/>
    <w:rsid w:val="6EE473DB"/>
    <w:rsid w:val="6EF84BEE"/>
    <w:rsid w:val="6F697ED6"/>
    <w:rsid w:val="705E1C96"/>
    <w:rsid w:val="707F6064"/>
    <w:rsid w:val="7131156A"/>
    <w:rsid w:val="715F0A41"/>
    <w:rsid w:val="716C7F72"/>
    <w:rsid w:val="718F23C6"/>
    <w:rsid w:val="71CE0C8F"/>
    <w:rsid w:val="72E53349"/>
    <w:rsid w:val="73833269"/>
    <w:rsid w:val="73C862AF"/>
    <w:rsid w:val="74EB5EC1"/>
    <w:rsid w:val="75200931"/>
    <w:rsid w:val="761630A5"/>
    <w:rsid w:val="76A737B1"/>
    <w:rsid w:val="76A84A06"/>
    <w:rsid w:val="76C64C8F"/>
    <w:rsid w:val="78B2514A"/>
    <w:rsid w:val="78D44F99"/>
    <w:rsid w:val="79733AC2"/>
    <w:rsid w:val="799A1C35"/>
    <w:rsid w:val="79B04AF8"/>
    <w:rsid w:val="7A363CBD"/>
    <w:rsid w:val="7A57575A"/>
    <w:rsid w:val="7AA2487D"/>
    <w:rsid w:val="7B182A5C"/>
    <w:rsid w:val="7BF375B1"/>
    <w:rsid w:val="7D477820"/>
    <w:rsid w:val="7E6F3D2C"/>
    <w:rsid w:val="7EF37C4D"/>
    <w:rsid w:val="7EF96296"/>
    <w:rsid w:val="7F64535D"/>
    <w:rsid w:val="7FFE0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491070-F66B-4F0E-8521-F226683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pPr>
      <w:keepNext/>
      <w:keepLines/>
      <w:spacing w:before="260" w:after="260" w:line="413" w:lineRule="auto"/>
      <w:outlineLvl w:val="1"/>
    </w:pPr>
    <w:rPr>
      <w:rFonts w:ascii="Arial" w:eastAsia="黑体" w:hAnsi="Arial"/>
      <w:b/>
      <w:sz w:val="24"/>
      <w:szCs w:val="20"/>
    </w:rPr>
  </w:style>
  <w:style w:type="paragraph" w:styleId="3">
    <w:name w:val="heading 3"/>
    <w:basedOn w:val="a"/>
    <w:next w:val="a"/>
    <w:link w:val="30"/>
    <w:uiPriority w:val="99"/>
    <w:qFormat/>
    <w:locked/>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10">
    <w:name w:val="标题 1 字符"/>
    <w:link w:val="1"/>
    <w:uiPriority w:val="99"/>
    <w:qFormat/>
    <w:locked/>
    <w:rPr>
      <w:rFonts w:cs="Times New Roman"/>
      <w:b/>
      <w:bCs/>
      <w:kern w:val="44"/>
      <w:sz w:val="44"/>
      <w:szCs w:val="44"/>
    </w:rPr>
  </w:style>
  <w:style w:type="character" w:customStyle="1" w:styleId="Heading2Char">
    <w:name w:val="Heading 2 Char"/>
    <w:uiPriority w:val="99"/>
    <w:semiHidden/>
    <w:qFormat/>
    <w:locked/>
    <w:rPr>
      <w:rFonts w:ascii="Cambria" w:eastAsia="宋体" w:hAnsi="Cambria" w:cs="Times New Roman"/>
      <w:b/>
      <w:bCs/>
      <w:sz w:val="32"/>
      <w:szCs w:val="32"/>
    </w:rPr>
  </w:style>
  <w:style w:type="character" w:customStyle="1" w:styleId="Heading3Char">
    <w:name w:val="Heading 3 Char"/>
    <w:uiPriority w:val="99"/>
    <w:semiHidden/>
    <w:qFormat/>
    <w:locked/>
    <w:rPr>
      <w:rFonts w:cs="Times New Roman"/>
      <w:b/>
      <w:bCs/>
      <w:sz w:val="32"/>
      <w:szCs w:val="3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HTML0">
    <w:name w:val="HTML 预设格式 字符"/>
    <w:link w:val="HTML"/>
    <w:uiPriority w:val="99"/>
    <w:qFormat/>
    <w:locked/>
    <w:rPr>
      <w:rFonts w:ascii="宋体" w:eastAsia="宋体" w:hAnsi="宋体" w:cs="宋体"/>
      <w:kern w:val="0"/>
      <w:sz w:val="24"/>
      <w:szCs w:val="24"/>
    </w:rPr>
  </w:style>
  <w:style w:type="character" w:customStyle="1" w:styleId="a4">
    <w:name w:val="日期 字符"/>
    <w:link w:val="a3"/>
    <w:uiPriority w:val="99"/>
    <w:semiHidden/>
    <w:qFormat/>
    <w:locked/>
    <w:rPr>
      <w:rFonts w:cs="Times New Roman"/>
    </w:rPr>
  </w:style>
  <w:style w:type="character" w:customStyle="1" w:styleId="30">
    <w:name w:val="标题 3 字符"/>
    <w:link w:val="3"/>
    <w:uiPriority w:val="99"/>
    <w:semiHidden/>
    <w:qFormat/>
    <w:locked/>
    <w:rPr>
      <w:rFonts w:ascii="Calibri" w:eastAsia="宋体" w:hAnsi="Calibri"/>
      <w:b/>
      <w:kern w:val="2"/>
      <w:sz w:val="32"/>
      <w:lang w:val="en-US" w:eastAsia="zh-CN"/>
    </w:rPr>
  </w:style>
  <w:style w:type="character" w:customStyle="1" w:styleId="20">
    <w:name w:val="标题 2 字符"/>
    <w:link w:val="2"/>
    <w:uiPriority w:val="99"/>
    <w:qFormat/>
    <w:locked/>
    <w:rPr>
      <w:rFonts w:ascii="Arial" w:eastAsia="黑体" w:hAnsi="Arial"/>
      <w:b/>
      <w:kern w:val="2"/>
      <w:sz w:val="24"/>
      <w:lang w:val="en-US" w:eastAsia="zh-CN"/>
    </w:rPr>
  </w:style>
  <w:style w:type="paragraph" w:customStyle="1" w:styleId="customunionstyle">
    <w:name w:val="custom_unionstyle"/>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semiHidden/>
    <w:qFormat/>
    <w:rPr>
      <w:kern w:val="2"/>
      <w:sz w:val="18"/>
      <w:szCs w:val="18"/>
    </w:rPr>
  </w:style>
  <w:style w:type="character" w:customStyle="1" w:styleId="a6">
    <w:name w:val="页脚 字符"/>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0278DF-3D68-488C-A250-4C69A4E1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1495</Words>
  <Characters>8523</Characters>
  <Application>Microsoft Office Word</Application>
  <DocSecurity>0</DocSecurity>
  <Lines>71</Lines>
  <Paragraphs>19</Paragraphs>
  <ScaleCrop>false</ScaleCrop>
  <Company>Sky123.Org</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xxzx</cp:lastModifiedBy>
  <cp:revision>39</cp:revision>
  <cp:lastPrinted>2021-01-25T02:56:00Z</cp:lastPrinted>
  <dcterms:created xsi:type="dcterms:W3CDTF">2017-08-22T09:27:00Z</dcterms:created>
  <dcterms:modified xsi:type="dcterms:W3CDTF">2023-05-11T08:25:00Z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78FA927323BE4147A0A1E1001A7197EF</vt:lpwstr>
  </property>
</Properties>
</file>