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 xml:space="preserve">填报单位：（盖章）                              金额单位：万元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79"/>
        <w:gridCol w:w="1871"/>
        <w:gridCol w:w="1078"/>
        <w:gridCol w:w="708"/>
        <w:gridCol w:w="227"/>
        <w:gridCol w:w="227"/>
        <w:gridCol w:w="227"/>
        <w:gridCol w:w="680"/>
        <w:gridCol w:w="272"/>
        <w:gridCol w:w="272"/>
        <w:gridCol w:w="272"/>
        <w:gridCol w:w="54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乡镇站所改革经费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88.48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84.19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3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  <w:bookmarkStart w:id="0" w:name="_GoBack"/>
            <w:bookmarkEnd w:id="0"/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种重大动物疫苗注射密度，农技推广服务天数不少于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>120天，组织1场大型文体活动，49岁以下绝育妇女普查1次，以上的重查4次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120天，6次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  <w:t>防治农作物病虫检测</w:t>
            </w: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>4万亩，牲畜防疫种类6种，丰富全镇人民群众文化生活，疾病预防和排查5种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4万亩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  <w:t>农作物无减产，牲畜疫病防治及时，人民群众生活丰富。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及时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居民生活保障率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农业技术服务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29.36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畜牧技术服务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文化体育服务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计划生育服务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“以钱养事”经费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政发维稳经费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5.1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23B871E8"/>
    <w:rsid w:val="36BA4088"/>
    <w:rsid w:val="42833564"/>
    <w:rsid w:val="45835A9C"/>
    <w:rsid w:val="59B4701A"/>
    <w:rsid w:val="7C8B7B95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579</Words>
  <Characters>657</Characters>
  <Lines>3</Lines>
  <Paragraphs>1</Paragraphs>
  <TotalTime>6</TotalTime>
  <ScaleCrop>false</ScaleCrop>
  <LinksUpToDate>false</LinksUpToDate>
  <CharactersWithSpaces>789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2023-02-21T02:51:59Z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