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21B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val="en-US" w:eastAsia="zh-CN"/>
        </w:rPr>
      </w:pPr>
    </w:p>
    <w:p w14:paraId="21D3A6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val="en-US" w:eastAsia="zh-CN"/>
        </w:rPr>
      </w:pPr>
    </w:p>
    <w:p w14:paraId="1D1509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Arial" w:hAnsi="Arial" w:eastAsia="宋体" w:cs="Arial"/>
          <w:b/>
          <w:sz w:val="36"/>
          <w:szCs w:val="44"/>
          <w:lang w:val="en-US" w:eastAsia="zh-CN"/>
        </w:rPr>
      </w:pPr>
    </w:p>
    <w:p w14:paraId="3CA91C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Arial" w:hAnsi="Arial" w:eastAsia="宋体" w:cs="Arial"/>
          <w:b/>
          <w:sz w:val="36"/>
          <w:szCs w:val="44"/>
          <w:lang w:val="en-US" w:eastAsia="zh-CN"/>
        </w:rPr>
      </w:pPr>
      <w:r>
        <w:rPr>
          <w:rFonts w:hint="eastAsia" w:ascii="Arial" w:hAnsi="Arial" w:eastAsia="宋体" w:cs="Arial"/>
          <w:b/>
          <w:sz w:val="36"/>
          <w:szCs w:val="44"/>
          <w:lang w:val="en-US" w:eastAsia="zh-CN"/>
        </w:rPr>
        <w:t>嘉鱼县卫生健康局</w:t>
      </w:r>
    </w:p>
    <w:p w14:paraId="713FD86F">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宋体" w:hAnsi="宋体" w:eastAsia="宋体" w:cs="宋体"/>
          <w:b/>
          <w:sz w:val="36"/>
          <w:szCs w:val="44"/>
        </w:rPr>
      </w:pPr>
      <w:r>
        <w:rPr>
          <w:rFonts w:hint="eastAsia" w:ascii="Arial" w:hAnsi="Arial" w:eastAsia="宋体" w:cs="Arial"/>
          <w:b/>
          <w:sz w:val="36"/>
          <w:szCs w:val="44"/>
          <w:lang w:eastAsia="zh-CN"/>
        </w:rPr>
        <w:t>2024</w:t>
      </w:r>
      <w:r>
        <w:rPr>
          <w:rFonts w:hint="eastAsia" w:ascii="宋体" w:hAnsi="宋体" w:eastAsia="宋体" w:cs="宋体"/>
          <w:b/>
          <w:sz w:val="36"/>
          <w:szCs w:val="44"/>
        </w:rPr>
        <w:t>年度</w:t>
      </w:r>
      <w:r>
        <w:rPr>
          <w:rFonts w:hint="eastAsia" w:ascii="Arial" w:hAnsi="Arial" w:eastAsia="宋体" w:cs="Arial"/>
          <w:b/>
          <w:sz w:val="36"/>
          <w:szCs w:val="44"/>
          <w:lang w:eastAsia="zh-CN"/>
        </w:rPr>
        <w:t>计划生育</w:t>
      </w:r>
      <w:r>
        <w:rPr>
          <w:rFonts w:hint="eastAsia" w:ascii="宋体" w:hAnsi="宋体" w:eastAsia="宋体" w:cs="宋体"/>
          <w:b/>
          <w:sz w:val="36"/>
          <w:szCs w:val="44"/>
          <w:lang w:eastAsia="zh-CN"/>
        </w:rPr>
        <w:t>服务资金</w:t>
      </w:r>
      <w:r>
        <w:rPr>
          <w:rFonts w:hint="eastAsia" w:ascii="宋体" w:hAnsi="宋体" w:eastAsia="宋体" w:cs="宋体"/>
          <w:b/>
          <w:sz w:val="36"/>
          <w:szCs w:val="44"/>
        </w:rPr>
        <w:t>绩效自评报告</w:t>
      </w:r>
    </w:p>
    <w:p w14:paraId="3C52E503">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黑体" w:hAnsi="黑体" w:eastAsia="黑体" w:cs="黑体"/>
          <w:bCs/>
          <w:szCs w:val="32"/>
        </w:rPr>
      </w:pPr>
    </w:p>
    <w:p w14:paraId="7CC95751">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hint="eastAsia" w:ascii="黑体" w:hAnsi="黑体" w:eastAsia="黑体" w:cs="黑体"/>
          <w:bCs/>
          <w:szCs w:val="32"/>
        </w:rPr>
      </w:pPr>
      <w:r>
        <w:rPr>
          <w:rFonts w:ascii="仿宋" w:hAnsi="仿宋" w:eastAsia="仿宋"/>
          <w:color w:val="000000"/>
          <w:sz w:val="30"/>
          <w:szCs w:val="30"/>
        </w:rPr>
        <w:t>为科学评价</w:t>
      </w:r>
      <w:r>
        <w:rPr>
          <w:rFonts w:hint="eastAsia" w:ascii="仿宋" w:hAnsi="仿宋" w:eastAsia="仿宋"/>
          <w:color w:val="000000"/>
          <w:sz w:val="30"/>
          <w:szCs w:val="30"/>
          <w:lang w:eastAsia="zh-CN"/>
        </w:rPr>
        <w:t>2024</w:t>
      </w:r>
      <w:r>
        <w:rPr>
          <w:rFonts w:ascii="仿宋" w:hAnsi="仿宋" w:eastAsia="仿宋"/>
          <w:color w:val="000000"/>
          <w:sz w:val="30"/>
          <w:szCs w:val="30"/>
        </w:rPr>
        <w:t>年</w:t>
      </w:r>
      <w:r>
        <w:rPr>
          <w:rFonts w:hint="eastAsia" w:ascii="仿宋" w:hAnsi="仿宋" w:eastAsia="仿宋" w:cs="Times New Roman"/>
          <w:color w:val="000000"/>
          <w:sz w:val="30"/>
          <w:szCs w:val="30"/>
          <w:lang w:val="en-US" w:eastAsia="zh-CN"/>
        </w:rPr>
        <w:t>计划生育服务</w:t>
      </w:r>
      <w:r>
        <w:rPr>
          <w:rFonts w:ascii="仿宋" w:hAnsi="仿宋" w:eastAsia="仿宋"/>
          <w:color w:val="000000"/>
          <w:sz w:val="30"/>
          <w:szCs w:val="30"/>
        </w:rPr>
        <w:t>项目绩效成效，根据项目绩效自评工作要求，</w:t>
      </w:r>
      <w:r>
        <w:rPr>
          <w:rFonts w:hint="eastAsia" w:ascii="仿宋" w:hAnsi="仿宋" w:eastAsia="仿宋"/>
          <w:color w:val="000000"/>
          <w:sz w:val="30"/>
          <w:szCs w:val="30"/>
          <w:lang w:val="en-US" w:eastAsia="zh-CN"/>
        </w:rPr>
        <w:t>我局</w:t>
      </w:r>
      <w:r>
        <w:rPr>
          <w:rFonts w:ascii="仿宋" w:hAnsi="仿宋" w:eastAsia="仿宋"/>
          <w:color w:val="000000"/>
          <w:sz w:val="30"/>
          <w:szCs w:val="30"/>
        </w:rPr>
        <w:t>高度重视，迅速组建工作专班，集中组织学习相关文件，进行自评解析，仔细搜集整理资料，及时汇总上报，确保项目绩效自评工作数据真实，情况明晰。</w:t>
      </w:r>
    </w:p>
    <w:p w14:paraId="441D3AF3">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14:paraId="18E18FEC">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outlineLvl w:val="0"/>
        <w:rPr>
          <w:rFonts w:hint="default" w:ascii="仿宋_GB2312"/>
          <w:szCs w:val="32"/>
          <w:lang w:val="en-US"/>
        </w:rPr>
      </w:pPr>
      <w:r>
        <w:rPr>
          <w:rFonts w:hint="eastAsia" w:ascii="仿宋_GB2312"/>
          <w:szCs w:val="32"/>
          <w:lang w:val="en-US" w:eastAsia="zh-CN"/>
        </w:rPr>
        <w:t>2024年度计划生育转移支付资金上级拨款361万元，县级配套资金530万元。</w:t>
      </w:r>
    </w:p>
    <w:p w14:paraId="468D7303">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二、绩效目标完成情况分析</w:t>
      </w:r>
    </w:p>
    <w:p w14:paraId="30ACBD6F">
      <w:pPr>
        <w:keepNext w:val="0"/>
        <w:keepLines w:val="0"/>
        <w:pageBreakBefore w:val="0"/>
        <w:widowControl w:val="0"/>
        <w:kinsoku/>
        <w:wordWrap/>
        <w:overflowPunct/>
        <w:topLinePunct w:val="0"/>
        <w:autoSpaceDE/>
        <w:autoSpaceDN/>
        <w:bidi w:val="0"/>
        <w:adjustRightInd/>
        <w:snapToGrid/>
        <w:spacing w:line="360" w:lineRule="exact"/>
        <w:ind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（一）资金投入情况分析。</w:t>
      </w:r>
    </w:p>
    <w:p w14:paraId="66A4564B">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eastAsia="zh-CN"/>
        </w:rPr>
        <w:t>2024</w:t>
      </w:r>
      <w:r>
        <w:rPr>
          <w:rFonts w:hint="eastAsia"/>
          <w:sz w:val="28"/>
          <w:szCs w:val="28"/>
          <w:highlight w:val="none"/>
        </w:rPr>
        <w:t>年度</w:t>
      </w:r>
      <w:r>
        <w:rPr>
          <w:rFonts w:hint="eastAsia"/>
          <w:sz w:val="28"/>
          <w:szCs w:val="28"/>
          <w:highlight w:val="none"/>
          <w:lang w:eastAsia="zh-CN"/>
        </w:rPr>
        <w:t>计生转移支付</w:t>
      </w:r>
      <w:r>
        <w:rPr>
          <w:rFonts w:hint="eastAsia"/>
          <w:sz w:val="28"/>
          <w:szCs w:val="28"/>
          <w:highlight w:val="none"/>
        </w:rPr>
        <w:t>项目预算资金</w:t>
      </w:r>
      <w:r>
        <w:rPr>
          <w:rFonts w:hint="eastAsia"/>
          <w:sz w:val="28"/>
          <w:szCs w:val="28"/>
          <w:highlight w:val="none"/>
          <w:lang w:val="en-US" w:eastAsia="zh-CN"/>
        </w:rPr>
        <w:t>891万</w:t>
      </w:r>
      <w:r>
        <w:rPr>
          <w:rFonts w:hint="eastAsia"/>
          <w:sz w:val="28"/>
          <w:szCs w:val="28"/>
          <w:highlight w:val="none"/>
        </w:rPr>
        <w:t>元，实际收到</w:t>
      </w:r>
      <w:r>
        <w:rPr>
          <w:rFonts w:hint="eastAsia"/>
          <w:sz w:val="28"/>
          <w:szCs w:val="28"/>
          <w:highlight w:val="none"/>
          <w:lang w:eastAsia="zh-CN"/>
        </w:rPr>
        <w:t>上级拨款</w:t>
      </w:r>
      <w:r>
        <w:rPr>
          <w:rFonts w:hint="eastAsia"/>
          <w:sz w:val="28"/>
          <w:szCs w:val="28"/>
          <w:highlight w:val="none"/>
          <w:lang w:val="en-US" w:eastAsia="zh-CN"/>
        </w:rPr>
        <w:t>361万元，县级</w:t>
      </w:r>
      <w:r>
        <w:rPr>
          <w:rFonts w:hint="eastAsia"/>
          <w:sz w:val="28"/>
          <w:szCs w:val="28"/>
          <w:highlight w:val="none"/>
        </w:rPr>
        <w:t>配套资金</w:t>
      </w:r>
      <w:r>
        <w:rPr>
          <w:rFonts w:hint="eastAsia"/>
          <w:sz w:val="28"/>
          <w:szCs w:val="28"/>
          <w:highlight w:val="none"/>
          <w:lang w:val="en-US" w:eastAsia="zh-CN"/>
        </w:rPr>
        <w:t>530万</w:t>
      </w:r>
      <w:r>
        <w:rPr>
          <w:rFonts w:hint="eastAsia"/>
          <w:sz w:val="28"/>
          <w:szCs w:val="28"/>
          <w:highlight w:val="none"/>
        </w:rPr>
        <w:t>元，预算资金已及时拨付到位，到位率100%。</w:t>
      </w:r>
    </w:p>
    <w:p w14:paraId="20261C3A">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eastAsia="zh-CN"/>
        </w:rPr>
        <w:t>2024</w:t>
      </w:r>
      <w:r>
        <w:rPr>
          <w:rFonts w:hint="eastAsia"/>
          <w:sz w:val="28"/>
          <w:szCs w:val="28"/>
          <w:highlight w:val="none"/>
        </w:rPr>
        <w:t>年累计拨付资金</w:t>
      </w:r>
      <w:r>
        <w:rPr>
          <w:rFonts w:hint="eastAsia"/>
          <w:sz w:val="28"/>
          <w:szCs w:val="28"/>
          <w:highlight w:val="none"/>
          <w:lang w:val="en-US" w:eastAsia="zh-CN"/>
        </w:rPr>
        <w:t>891万</w:t>
      </w:r>
      <w:r>
        <w:rPr>
          <w:rFonts w:hint="eastAsia"/>
          <w:sz w:val="28"/>
          <w:szCs w:val="28"/>
          <w:highlight w:val="none"/>
        </w:rPr>
        <w:t>元，预算执行率</w:t>
      </w:r>
      <w:r>
        <w:rPr>
          <w:rFonts w:hint="eastAsia"/>
          <w:sz w:val="28"/>
          <w:szCs w:val="28"/>
          <w:highlight w:val="none"/>
          <w:lang w:val="en-US" w:eastAsia="zh-CN"/>
        </w:rPr>
        <w:t>100</w:t>
      </w:r>
      <w:r>
        <w:rPr>
          <w:rFonts w:hint="eastAsia"/>
          <w:sz w:val="28"/>
          <w:szCs w:val="28"/>
          <w:highlight w:val="none"/>
        </w:rPr>
        <w:t>%。</w:t>
      </w:r>
    </w:p>
    <w:p w14:paraId="563D3547">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资金使用基本按照预算执行，符合国家财经法规和财务管理制度以及有关专项资金管理办法的规定。我局按照财务管理制度，严格执行专项资金管理，对项目资金使用按制度审批、按程序报销，严把审核关，同时，不断加强对项目经费管理使用的检查力度，应用于对口项目的支出，确保了专项工作的有序开展。我局项目预算资金支出合规，使用合理，相关台账资料齐全并及时归档，项目实施的人员条件、场地设备、信息支撑等落实到位。无虚列支出，无截留、挤占、挪用情况。</w:t>
      </w:r>
    </w:p>
    <w:p w14:paraId="5A5FBCD9">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总体绩效目标完成情况分析。</w:t>
      </w:r>
    </w:p>
    <w:p w14:paraId="45A626F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rPr>
        <w:t>根据《</w:t>
      </w:r>
      <w:r>
        <w:rPr>
          <w:rFonts w:hint="eastAsia"/>
          <w:sz w:val="28"/>
          <w:szCs w:val="28"/>
          <w:highlight w:val="none"/>
          <w:lang w:val="en-US" w:eastAsia="zh-CN"/>
        </w:rPr>
        <w:t>省财政厅关于提前下达2024年计划生育转移支付资金预算的通知</w:t>
      </w:r>
      <w:r>
        <w:rPr>
          <w:rFonts w:hint="eastAsia"/>
          <w:sz w:val="28"/>
          <w:szCs w:val="28"/>
          <w:highlight w:val="none"/>
        </w:rPr>
        <w:t>》(鄂</w:t>
      </w:r>
      <w:r>
        <w:rPr>
          <w:rFonts w:hint="eastAsia"/>
          <w:sz w:val="28"/>
          <w:szCs w:val="28"/>
          <w:highlight w:val="none"/>
          <w:lang w:val="en-US" w:eastAsia="zh-CN"/>
        </w:rPr>
        <w:t>财社</w:t>
      </w:r>
      <w:r>
        <w:rPr>
          <w:rFonts w:hint="eastAsia"/>
          <w:sz w:val="28"/>
          <w:szCs w:val="28"/>
          <w:highlight w:val="none"/>
        </w:rPr>
        <w:t>发[201</w:t>
      </w:r>
      <w:r>
        <w:rPr>
          <w:rFonts w:hint="eastAsia"/>
          <w:sz w:val="28"/>
          <w:szCs w:val="28"/>
          <w:highlight w:val="none"/>
          <w:lang w:val="en-US" w:eastAsia="zh-CN"/>
        </w:rPr>
        <w:t>9</w:t>
      </w:r>
      <w:r>
        <w:rPr>
          <w:rFonts w:hint="eastAsia"/>
          <w:sz w:val="28"/>
          <w:szCs w:val="28"/>
          <w:highlight w:val="none"/>
        </w:rPr>
        <w:t>]</w:t>
      </w:r>
      <w:r>
        <w:rPr>
          <w:rFonts w:hint="eastAsia"/>
          <w:sz w:val="28"/>
          <w:szCs w:val="28"/>
          <w:highlight w:val="none"/>
          <w:lang w:val="en-US" w:eastAsia="zh-CN"/>
        </w:rPr>
        <w:t>84</w:t>
      </w:r>
      <w:r>
        <w:rPr>
          <w:rFonts w:hint="eastAsia"/>
          <w:sz w:val="28"/>
          <w:szCs w:val="28"/>
          <w:highlight w:val="none"/>
        </w:rPr>
        <w:t>号)</w:t>
      </w:r>
      <w:r>
        <w:rPr>
          <w:rFonts w:hint="eastAsia"/>
          <w:sz w:val="28"/>
          <w:szCs w:val="28"/>
          <w:highlight w:val="none"/>
          <w:lang w:eastAsia="zh-CN"/>
        </w:rPr>
        <w:t>、</w:t>
      </w:r>
      <w:r>
        <w:rPr>
          <w:rFonts w:hint="eastAsia"/>
          <w:sz w:val="28"/>
          <w:szCs w:val="28"/>
          <w:highlight w:val="none"/>
        </w:rPr>
        <w:t>《</w:t>
      </w:r>
      <w:r>
        <w:rPr>
          <w:rFonts w:hint="eastAsia"/>
          <w:sz w:val="28"/>
          <w:szCs w:val="28"/>
          <w:highlight w:val="none"/>
          <w:lang w:val="en-US" w:eastAsia="zh-CN"/>
        </w:rPr>
        <w:t>省财政厅关于下达2024年中央财政计划生育转移支付资金的通知</w:t>
      </w:r>
      <w:r>
        <w:rPr>
          <w:rFonts w:hint="eastAsia"/>
          <w:sz w:val="28"/>
          <w:szCs w:val="28"/>
          <w:highlight w:val="none"/>
        </w:rPr>
        <w:t>》(鄂</w:t>
      </w:r>
      <w:r>
        <w:rPr>
          <w:rFonts w:hint="eastAsia"/>
          <w:sz w:val="28"/>
          <w:szCs w:val="28"/>
          <w:highlight w:val="none"/>
          <w:lang w:val="en-US" w:eastAsia="zh-CN"/>
        </w:rPr>
        <w:t>财社</w:t>
      </w:r>
      <w:r>
        <w:rPr>
          <w:rFonts w:hint="eastAsia"/>
          <w:sz w:val="28"/>
          <w:szCs w:val="28"/>
          <w:highlight w:val="none"/>
        </w:rPr>
        <w:t>发[</w:t>
      </w:r>
      <w:r>
        <w:rPr>
          <w:rFonts w:hint="eastAsia"/>
          <w:sz w:val="28"/>
          <w:szCs w:val="28"/>
          <w:highlight w:val="none"/>
          <w:lang w:eastAsia="zh-CN"/>
        </w:rPr>
        <w:t>2024</w:t>
      </w:r>
      <w:r>
        <w:rPr>
          <w:rFonts w:hint="eastAsia"/>
          <w:sz w:val="28"/>
          <w:szCs w:val="28"/>
          <w:highlight w:val="none"/>
        </w:rPr>
        <w:t>]</w:t>
      </w:r>
      <w:r>
        <w:rPr>
          <w:rFonts w:hint="eastAsia"/>
          <w:sz w:val="28"/>
          <w:szCs w:val="28"/>
          <w:highlight w:val="none"/>
          <w:lang w:val="en-US" w:eastAsia="zh-CN"/>
        </w:rPr>
        <w:t>60</w:t>
      </w:r>
      <w:r>
        <w:rPr>
          <w:rFonts w:hint="eastAsia"/>
          <w:sz w:val="28"/>
          <w:szCs w:val="28"/>
          <w:highlight w:val="none"/>
        </w:rPr>
        <w:t>号)的通知，</w:t>
      </w:r>
      <w:r>
        <w:rPr>
          <w:rFonts w:hint="eastAsia"/>
          <w:sz w:val="28"/>
          <w:szCs w:val="28"/>
          <w:highlight w:val="none"/>
          <w:lang w:val="en-US" w:eastAsia="zh-CN"/>
        </w:rPr>
        <w:t>实施农村部分计划生育家庭奖励扶助制度，解决农村独生子女和双女家庭的养老问题，提高家庭发展能力。实施计划生育家庭特别扶助制度，缓解计划生育特殊家庭在生产、生活、医疗和养老等方面的特殊困难，保障和改善民生，促进社会和谐稳定。相关股室严格按照年初制度的目标，认真落实实施，已经完成年初制定的绩效目标。</w:t>
      </w:r>
      <w:r>
        <w:rPr>
          <w:rFonts w:hint="eastAsia"/>
          <w:sz w:val="28"/>
          <w:szCs w:val="28"/>
          <w:highlight w:val="none"/>
          <w:lang w:eastAsia="zh-CN"/>
        </w:rPr>
        <w:t>2024</w:t>
      </w:r>
      <w:r>
        <w:rPr>
          <w:rFonts w:hint="eastAsia"/>
          <w:sz w:val="28"/>
          <w:szCs w:val="28"/>
          <w:highlight w:val="none"/>
        </w:rPr>
        <w:t>年完成扶助独生子女伤残家庭人数</w:t>
      </w:r>
      <w:r>
        <w:rPr>
          <w:rFonts w:hint="eastAsia"/>
          <w:sz w:val="28"/>
          <w:szCs w:val="28"/>
          <w:highlight w:val="none"/>
          <w:lang w:val="en-US" w:eastAsia="zh-CN"/>
        </w:rPr>
        <w:t>91</w:t>
      </w:r>
      <w:r>
        <w:rPr>
          <w:rFonts w:hint="eastAsia"/>
          <w:sz w:val="28"/>
          <w:szCs w:val="28"/>
          <w:highlight w:val="none"/>
        </w:rPr>
        <w:t>人；</w:t>
      </w:r>
      <w:r>
        <w:rPr>
          <w:rFonts w:hint="eastAsia"/>
          <w:sz w:val="28"/>
          <w:szCs w:val="28"/>
          <w:highlight w:val="none"/>
          <w:lang w:eastAsia="zh-CN"/>
        </w:rPr>
        <w:t>2024</w:t>
      </w:r>
      <w:r>
        <w:rPr>
          <w:rFonts w:hint="eastAsia"/>
          <w:sz w:val="28"/>
          <w:szCs w:val="28"/>
          <w:highlight w:val="none"/>
        </w:rPr>
        <w:t>年完成扶助独生子女死亡家庭人数</w:t>
      </w:r>
      <w:r>
        <w:rPr>
          <w:rFonts w:hint="eastAsia"/>
          <w:sz w:val="28"/>
          <w:szCs w:val="28"/>
          <w:highlight w:val="none"/>
          <w:lang w:val="en-US" w:eastAsia="zh-CN"/>
        </w:rPr>
        <w:t>171</w:t>
      </w:r>
      <w:r>
        <w:rPr>
          <w:rFonts w:hint="eastAsia"/>
          <w:sz w:val="28"/>
          <w:szCs w:val="28"/>
          <w:highlight w:val="none"/>
        </w:rPr>
        <w:t>人；</w:t>
      </w:r>
      <w:r>
        <w:rPr>
          <w:rFonts w:hint="eastAsia"/>
          <w:sz w:val="28"/>
          <w:szCs w:val="28"/>
          <w:highlight w:val="none"/>
          <w:lang w:eastAsia="zh-CN"/>
        </w:rPr>
        <w:t>2024</w:t>
      </w:r>
      <w:r>
        <w:rPr>
          <w:rFonts w:hint="eastAsia"/>
          <w:sz w:val="28"/>
          <w:szCs w:val="28"/>
          <w:highlight w:val="none"/>
        </w:rPr>
        <w:t>年完成扶助计划生育手术并发症一级、二级、三级人数</w:t>
      </w:r>
      <w:r>
        <w:rPr>
          <w:rFonts w:hint="eastAsia"/>
          <w:sz w:val="28"/>
          <w:szCs w:val="28"/>
          <w:highlight w:val="none"/>
          <w:lang w:val="en-US" w:eastAsia="zh-CN"/>
        </w:rPr>
        <w:t>137</w:t>
      </w:r>
      <w:r>
        <w:rPr>
          <w:rFonts w:hint="eastAsia"/>
          <w:sz w:val="28"/>
          <w:szCs w:val="28"/>
          <w:highlight w:val="none"/>
        </w:rPr>
        <w:t>人；</w:t>
      </w:r>
      <w:r>
        <w:rPr>
          <w:rFonts w:hint="eastAsia"/>
          <w:sz w:val="28"/>
          <w:szCs w:val="28"/>
          <w:highlight w:val="none"/>
          <w:lang w:eastAsia="zh-CN"/>
        </w:rPr>
        <w:t>2024</w:t>
      </w:r>
      <w:r>
        <w:rPr>
          <w:rFonts w:hint="eastAsia"/>
          <w:sz w:val="28"/>
          <w:szCs w:val="28"/>
          <w:highlight w:val="none"/>
        </w:rPr>
        <w:t>年完成农村部分计划生育家庭奖励扶助人数</w:t>
      </w:r>
      <w:r>
        <w:rPr>
          <w:rFonts w:hint="eastAsia"/>
          <w:sz w:val="28"/>
          <w:szCs w:val="28"/>
          <w:highlight w:val="none"/>
          <w:lang w:val="en-US" w:eastAsia="zh-CN"/>
        </w:rPr>
        <w:t>1761</w:t>
      </w:r>
      <w:r>
        <w:rPr>
          <w:rFonts w:hint="eastAsia"/>
          <w:sz w:val="28"/>
          <w:szCs w:val="28"/>
          <w:highlight w:val="none"/>
        </w:rPr>
        <w:t>人</w:t>
      </w:r>
    </w:p>
    <w:p w14:paraId="1F50B4DE">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firstLine="602" w:firstLineChars="200"/>
        <w:jc w:val="both"/>
        <w:textAlignment w:val="auto"/>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14:paraId="33D9B26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jc w:val="both"/>
        <w:textAlignment w:val="auto"/>
        <w:rPr>
          <w:rFonts w:hint="eastAsia"/>
          <w:sz w:val="28"/>
          <w:szCs w:val="28"/>
          <w:highlight w:val="none"/>
        </w:rPr>
      </w:pPr>
      <w:r>
        <w:rPr>
          <w:rFonts w:hint="eastAsia"/>
          <w:sz w:val="28"/>
          <w:szCs w:val="28"/>
          <w:highlight w:val="none"/>
        </w:rPr>
        <w:t>（1）产出指标完成情况分析。</w:t>
      </w:r>
    </w:p>
    <w:p w14:paraId="23A96D41">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数量指标</w:t>
      </w:r>
    </w:p>
    <w:p w14:paraId="23C491E4">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sz w:val="28"/>
          <w:szCs w:val="28"/>
          <w:highlight w:val="none"/>
          <w:lang w:val="en-US" w:eastAsia="zh-CN"/>
        </w:rPr>
      </w:pPr>
      <w:r>
        <w:rPr>
          <w:rFonts w:hint="eastAsia"/>
          <w:sz w:val="28"/>
          <w:szCs w:val="28"/>
          <w:highlight w:val="none"/>
          <w:lang w:val="en-US" w:eastAsia="zh-CN"/>
        </w:rPr>
        <w:t>2024年完成扶助独生子女伤残家庭人数91人，完成年度目标；</w:t>
      </w:r>
    </w:p>
    <w:p w14:paraId="06972C58">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2024年完成扶助独生子女死亡家庭人数171人，完成年度目标；</w:t>
      </w:r>
    </w:p>
    <w:p w14:paraId="647921C9">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2024年完成扶助计划生育手术并发症一级、二级、三级人数137人，完成年度目标；</w:t>
      </w:r>
    </w:p>
    <w:p w14:paraId="4A62204A">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2024年完成农村部分计划生育家庭奖励扶助人数1761人，完成年度目标。</w:t>
      </w:r>
    </w:p>
    <w:p w14:paraId="002AB39D">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②</w:t>
      </w:r>
      <w:r>
        <w:rPr>
          <w:rFonts w:hint="eastAsia" w:eastAsia="宋体"/>
          <w:sz w:val="28"/>
          <w:szCs w:val="28"/>
          <w:highlight w:val="none"/>
          <w:lang w:val="en-US" w:eastAsia="zh-CN"/>
        </w:rPr>
        <w:t xml:space="preserve"> </w:t>
      </w:r>
      <w:r>
        <w:rPr>
          <w:rFonts w:hint="eastAsia"/>
          <w:sz w:val="28"/>
          <w:szCs w:val="28"/>
          <w:highlight w:val="none"/>
        </w:rPr>
        <w:t>质量指标</w:t>
      </w:r>
    </w:p>
    <w:p w14:paraId="678B43F2">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2024年符合条件申报对象覆盖率100%。</w:t>
      </w:r>
    </w:p>
    <w:p w14:paraId="12C49A59">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③</w:t>
      </w:r>
      <w:r>
        <w:rPr>
          <w:rFonts w:hint="eastAsia" w:eastAsia="宋体"/>
          <w:sz w:val="28"/>
          <w:szCs w:val="28"/>
          <w:highlight w:val="none"/>
          <w:lang w:val="en-US" w:eastAsia="zh-CN"/>
        </w:rPr>
        <w:t xml:space="preserve"> </w:t>
      </w:r>
      <w:r>
        <w:rPr>
          <w:rFonts w:hint="eastAsia"/>
          <w:sz w:val="28"/>
          <w:szCs w:val="28"/>
          <w:highlight w:val="none"/>
        </w:rPr>
        <w:t>成本指标</w:t>
      </w:r>
    </w:p>
    <w:p w14:paraId="3E7306F4">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lang w:val="en-US" w:eastAsia="zh-CN"/>
        </w:rPr>
        <w:t>2024年</w:t>
      </w:r>
      <w:r>
        <w:rPr>
          <w:rFonts w:hint="eastAsia"/>
          <w:sz w:val="28"/>
          <w:szCs w:val="28"/>
          <w:highlight w:val="none"/>
        </w:rPr>
        <w:t>独生子女伤残家庭扶助金发放标准</w:t>
      </w:r>
      <w:r>
        <w:rPr>
          <w:rFonts w:hint="eastAsia"/>
          <w:sz w:val="28"/>
          <w:szCs w:val="28"/>
          <w:highlight w:val="none"/>
          <w:lang w:val="en-US" w:eastAsia="zh-CN"/>
        </w:rPr>
        <w:t>为8280</w:t>
      </w:r>
      <w:r>
        <w:rPr>
          <w:rFonts w:hint="eastAsia"/>
          <w:sz w:val="28"/>
          <w:szCs w:val="28"/>
          <w:highlight w:val="none"/>
        </w:rPr>
        <w:t>元/人/</w:t>
      </w:r>
      <w:r>
        <w:rPr>
          <w:rFonts w:hint="eastAsia"/>
          <w:sz w:val="28"/>
          <w:szCs w:val="28"/>
          <w:highlight w:val="none"/>
          <w:lang w:eastAsia="zh-CN"/>
        </w:rPr>
        <w:t>年，</w:t>
      </w:r>
      <w:r>
        <w:rPr>
          <w:rFonts w:hint="eastAsia"/>
          <w:sz w:val="28"/>
          <w:szCs w:val="28"/>
          <w:highlight w:val="none"/>
          <w:lang w:val="en-US" w:eastAsia="zh-CN"/>
        </w:rPr>
        <w:t>符合政策要求；</w:t>
      </w:r>
    </w:p>
    <w:p w14:paraId="0A63C434">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2024年</w:t>
      </w:r>
      <w:r>
        <w:rPr>
          <w:rFonts w:hint="eastAsia"/>
          <w:sz w:val="28"/>
          <w:szCs w:val="28"/>
          <w:highlight w:val="none"/>
        </w:rPr>
        <w:t>独生子女死亡家庭扶助金发放标准</w:t>
      </w:r>
      <w:r>
        <w:rPr>
          <w:rFonts w:hint="eastAsia"/>
          <w:sz w:val="28"/>
          <w:szCs w:val="28"/>
          <w:highlight w:val="none"/>
          <w:lang w:val="en-US" w:eastAsia="zh-CN"/>
        </w:rPr>
        <w:t>10680</w:t>
      </w:r>
      <w:r>
        <w:rPr>
          <w:rFonts w:hint="eastAsia"/>
          <w:sz w:val="28"/>
          <w:szCs w:val="28"/>
          <w:highlight w:val="none"/>
        </w:rPr>
        <w:t>元/人/</w:t>
      </w:r>
      <w:r>
        <w:rPr>
          <w:rFonts w:hint="eastAsia"/>
          <w:sz w:val="28"/>
          <w:szCs w:val="28"/>
          <w:highlight w:val="none"/>
          <w:lang w:eastAsia="zh-CN"/>
        </w:rPr>
        <w:t>年，</w:t>
      </w:r>
      <w:r>
        <w:rPr>
          <w:rFonts w:hint="eastAsia"/>
          <w:sz w:val="28"/>
          <w:szCs w:val="28"/>
          <w:highlight w:val="none"/>
          <w:lang w:val="en-US" w:eastAsia="zh-CN"/>
        </w:rPr>
        <w:t>符合政策要求；</w:t>
      </w:r>
    </w:p>
    <w:p w14:paraId="0F175711">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eastAsiaTheme="minorEastAsia"/>
          <w:sz w:val="28"/>
          <w:szCs w:val="28"/>
          <w:highlight w:val="none"/>
          <w:lang w:eastAsia="zh-CN"/>
        </w:rPr>
      </w:pPr>
      <w:r>
        <w:rPr>
          <w:rFonts w:hint="eastAsia"/>
          <w:sz w:val="28"/>
          <w:szCs w:val="28"/>
          <w:highlight w:val="none"/>
          <w:lang w:val="en-US" w:eastAsia="zh-CN"/>
        </w:rPr>
        <w:t>2024年</w:t>
      </w:r>
      <w:r>
        <w:rPr>
          <w:rFonts w:hint="eastAsia"/>
          <w:sz w:val="28"/>
          <w:szCs w:val="28"/>
          <w:highlight w:val="none"/>
        </w:rPr>
        <w:t>计划生育手术并发症扶助金发放标准三级</w:t>
      </w:r>
      <w:r>
        <w:rPr>
          <w:rFonts w:hint="eastAsia"/>
          <w:sz w:val="28"/>
          <w:szCs w:val="28"/>
          <w:highlight w:val="none"/>
          <w:lang w:val="en-US" w:eastAsia="zh-CN"/>
        </w:rPr>
        <w:t>3600</w:t>
      </w:r>
      <w:r>
        <w:rPr>
          <w:rFonts w:hint="eastAsia"/>
          <w:sz w:val="28"/>
          <w:szCs w:val="28"/>
          <w:highlight w:val="none"/>
        </w:rPr>
        <w:t>元/人/</w:t>
      </w:r>
      <w:r>
        <w:rPr>
          <w:rFonts w:hint="eastAsia"/>
          <w:sz w:val="28"/>
          <w:szCs w:val="28"/>
          <w:highlight w:val="none"/>
          <w:lang w:eastAsia="zh-CN"/>
        </w:rPr>
        <w:t>年、</w:t>
      </w:r>
    </w:p>
    <w:p w14:paraId="60B4AC73">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default" w:eastAsiaTheme="minorEastAsia"/>
          <w:sz w:val="28"/>
          <w:szCs w:val="28"/>
          <w:highlight w:val="none"/>
          <w:lang w:val="en-US" w:eastAsia="zh-CN"/>
        </w:rPr>
      </w:pPr>
      <w:r>
        <w:rPr>
          <w:rFonts w:hint="eastAsia"/>
          <w:sz w:val="28"/>
          <w:szCs w:val="28"/>
          <w:highlight w:val="none"/>
          <w:lang w:val="en-US" w:eastAsia="zh-CN"/>
        </w:rPr>
        <w:t>符合政策要求；</w:t>
      </w:r>
    </w:p>
    <w:p w14:paraId="5BC328EF">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2024年</w:t>
      </w:r>
      <w:r>
        <w:rPr>
          <w:rFonts w:hint="eastAsia"/>
          <w:sz w:val="28"/>
          <w:szCs w:val="28"/>
          <w:highlight w:val="none"/>
        </w:rPr>
        <w:t>农村部分计划生育家庭奖励扶助金发放标准80元/人/月</w:t>
      </w:r>
      <w:r>
        <w:rPr>
          <w:rFonts w:hint="eastAsia"/>
          <w:sz w:val="28"/>
          <w:szCs w:val="28"/>
          <w:highlight w:val="none"/>
          <w:lang w:eastAsia="zh-CN"/>
        </w:rPr>
        <w:t>，</w:t>
      </w:r>
      <w:r>
        <w:rPr>
          <w:rFonts w:hint="eastAsia"/>
          <w:sz w:val="28"/>
          <w:szCs w:val="28"/>
          <w:highlight w:val="none"/>
          <w:lang w:val="en-US" w:eastAsia="zh-CN"/>
        </w:rPr>
        <w:t>符合政策要求。</w:t>
      </w:r>
    </w:p>
    <w:p w14:paraId="192E9CB4">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效益指标完成情况分析。</w:t>
      </w:r>
    </w:p>
    <w:p w14:paraId="62346EF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ascii="宋体" w:hAnsi="宋体" w:eastAsia="宋体" w:cs="宋体"/>
          <w:sz w:val="28"/>
          <w:szCs w:val="28"/>
          <w:highlight w:val="none"/>
        </w:rPr>
        <w:t>①</w:t>
      </w:r>
      <w:r>
        <w:rPr>
          <w:rFonts w:hint="eastAsia" w:eastAsia="宋体"/>
          <w:sz w:val="28"/>
          <w:szCs w:val="28"/>
          <w:highlight w:val="none"/>
          <w:lang w:val="en-US" w:eastAsia="zh-CN"/>
        </w:rPr>
        <w:t xml:space="preserve"> </w:t>
      </w:r>
      <w:r>
        <w:rPr>
          <w:rFonts w:hint="eastAsia"/>
          <w:sz w:val="28"/>
          <w:szCs w:val="28"/>
          <w:highlight w:val="none"/>
        </w:rPr>
        <w:t>社会效益指标</w:t>
      </w:r>
    </w:p>
    <w:p w14:paraId="4011E84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促进</w:t>
      </w:r>
      <w:r>
        <w:rPr>
          <w:rFonts w:hint="eastAsia"/>
          <w:sz w:val="28"/>
          <w:szCs w:val="28"/>
          <w:highlight w:val="none"/>
        </w:rPr>
        <w:t>家庭发展力大于80%</w:t>
      </w:r>
      <w:r>
        <w:rPr>
          <w:rFonts w:hint="eastAsia"/>
          <w:sz w:val="28"/>
          <w:szCs w:val="28"/>
          <w:highlight w:val="none"/>
          <w:lang w:eastAsia="zh-CN"/>
        </w:rPr>
        <w:t>，做好计划生育特殊家庭帮扶工作，为计划生育特扶对象提供住院报销、购买合作医疗、购买养老保险、免费体检等服务，同时对计生特扶对象进行节日慰问，开展心理疏导。建立联系帮扶制度，为全县计生特殊家庭确定联系人，每月对特殊家庭进行走访慰问或电话随访，及时沟通了解情况，为计生特殊家庭生活生产提供必要的帮助。</w:t>
      </w:r>
    </w:p>
    <w:p w14:paraId="0D12AFD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lang w:eastAsia="zh-CN"/>
        </w:rPr>
      </w:pPr>
      <w:r>
        <w:rPr>
          <w:rFonts w:hint="eastAsia"/>
          <w:sz w:val="28"/>
          <w:szCs w:val="28"/>
          <w:highlight w:val="none"/>
          <w:lang w:val="en-US" w:eastAsia="zh-CN"/>
        </w:rPr>
        <w:t>维持</w:t>
      </w:r>
      <w:r>
        <w:rPr>
          <w:rFonts w:hint="eastAsia"/>
          <w:sz w:val="28"/>
          <w:szCs w:val="28"/>
          <w:highlight w:val="none"/>
        </w:rPr>
        <w:t>社会稳定水平大于80%</w:t>
      </w:r>
      <w:r>
        <w:rPr>
          <w:rFonts w:hint="eastAsia"/>
          <w:sz w:val="28"/>
          <w:szCs w:val="28"/>
          <w:highlight w:val="none"/>
          <w:lang w:eastAsia="zh-CN"/>
        </w:rPr>
        <w:t>，健全妇幼健康服务体系，促进养育成本持续下降，引导各方力量加大对二孩及其家庭的扶助力度，促进出生人口中二孩比例逐步提高。落实配套设施建设，在人民医院、中医院、妇幼保健院、康泰医院等单位</w:t>
      </w:r>
      <w:r>
        <w:rPr>
          <w:rFonts w:hint="eastAsia"/>
          <w:sz w:val="28"/>
          <w:szCs w:val="28"/>
          <w:highlight w:val="none"/>
          <w:lang w:val="en-US" w:eastAsia="zh-CN"/>
        </w:rPr>
        <w:t>继续加强对妇幼基本配套设施资金投入，更便利的服务于</w:t>
      </w:r>
      <w:r>
        <w:rPr>
          <w:rFonts w:hint="eastAsia"/>
          <w:sz w:val="28"/>
          <w:szCs w:val="28"/>
          <w:highlight w:val="none"/>
          <w:lang w:eastAsia="zh-CN"/>
        </w:rPr>
        <w:t>全</w:t>
      </w:r>
      <w:r>
        <w:rPr>
          <w:rFonts w:hint="eastAsia"/>
          <w:sz w:val="28"/>
          <w:szCs w:val="28"/>
          <w:highlight w:val="none"/>
          <w:lang w:val="en-US" w:eastAsia="zh-CN"/>
        </w:rPr>
        <w:t>县</w:t>
      </w:r>
      <w:r>
        <w:rPr>
          <w:rFonts w:hint="eastAsia"/>
          <w:sz w:val="28"/>
          <w:szCs w:val="28"/>
          <w:highlight w:val="none"/>
          <w:lang w:eastAsia="zh-CN"/>
        </w:rPr>
        <w:t>妇幼</w:t>
      </w:r>
      <w:r>
        <w:rPr>
          <w:rFonts w:hint="eastAsia"/>
          <w:sz w:val="28"/>
          <w:szCs w:val="28"/>
          <w:highlight w:val="none"/>
          <w:lang w:val="en-US" w:eastAsia="zh-CN"/>
        </w:rPr>
        <w:t>群体</w:t>
      </w:r>
      <w:r>
        <w:rPr>
          <w:rFonts w:hint="eastAsia"/>
          <w:sz w:val="28"/>
          <w:szCs w:val="28"/>
          <w:highlight w:val="none"/>
          <w:lang w:eastAsia="zh-CN"/>
        </w:rPr>
        <w:t>。</w:t>
      </w:r>
    </w:p>
    <w:p w14:paraId="50010374">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560" w:firstLineChars="200"/>
        <w:jc w:val="both"/>
        <w:textAlignment w:val="auto"/>
        <w:rPr>
          <w:rFonts w:hint="eastAsia"/>
          <w:sz w:val="28"/>
          <w:szCs w:val="28"/>
          <w:highlight w:val="none"/>
        </w:rPr>
      </w:pPr>
      <w:r>
        <w:rPr>
          <w:rFonts w:hint="eastAsia"/>
          <w:sz w:val="28"/>
          <w:szCs w:val="28"/>
          <w:highlight w:val="none"/>
        </w:rPr>
        <w:t>满意度指标完成情况分析。</w:t>
      </w:r>
    </w:p>
    <w:p w14:paraId="73AB5515">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lang w:val="en-US" w:eastAsia="zh-CN"/>
        </w:rPr>
        <w:t>通过对计生服务群体满意度的</w:t>
      </w:r>
      <w:r>
        <w:rPr>
          <w:rFonts w:hint="eastAsia"/>
          <w:sz w:val="28"/>
          <w:szCs w:val="28"/>
          <w:highlight w:val="none"/>
          <w:lang w:eastAsia="zh-CN"/>
        </w:rPr>
        <w:t>实地调查、询问，2024年度计生事业费项目</w:t>
      </w:r>
      <w:r>
        <w:rPr>
          <w:rFonts w:hint="eastAsia"/>
          <w:sz w:val="28"/>
          <w:szCs w:val="28"/>
          <w:highlight w:val="none"/>
          <w:lang w:val="en-US" w:eastAsia="zh-CN"/>
        </w:rPr>
        <w:t>总体</w:t>
      </w:r>
      <w:r>
        <w:rPr>
          <w:rFonts w:hint="eastAsia"/>
          <w:sz w:val="28"/>
          <w:szCs w:val="28"/>
          <w:highlight w:val="none"/>
          <w:lang w:eastAsia="zh-CN"/>
        </w:rPr>
        <w:t>满意度</w:t>
      </w:r>
      <w:r>
        <w:rPr>
          <w:rFonts w:hint="eastAsia"/>
          <w:sz w:val="28"/>
          <w:szCs w:val="28"/>
          <w:highlight w:val="none"/>
          <w:lang w:val="en-US" w:eastAsia="zh-CN"/>
        </w:rPr>
        <w:t>98</w:t>
      </w:r>
      <w:r>
        <w:rPr>
          <w:rFonts w:hint="eastAsia"/>
          <w:sz w:val="28"/>
          <w:szCs w:val="28"/>
          <w:highlight w:val="none"/>
          <w:lang w:eastAsia="zh-CN"/>
        </w:rPr>
        <w:t>%。</w:t>
      </w:r>
    </w:p>
    <w:p w14:paraId="29258245">
      <w:pPr>
        <w:keepNext w:val="0"/>
        <w:keepLines w:val="0"/>
        <w:pageBreakBefore w:val="0"/>
        <w:widowControl w:val="0"/>
        <w:kinsoku/>
        <w:wordWrap/>
        <w:overflowPunct/>
        <w:topLinePunct w:val="0"/>
        <w:autoSpaceDE/>
        <w:autoSpaceDN/>
        <w:bidi w:val="0"/>
        <w:adjustRightInd/>
        <w:snapToGrid/>
        <w:spacing w:line="360" w:lineRule="exact"/>
        <w:ind w:firstLine="600" w:firstLineChars="200"/>
        <w:textAlignment w:val="auto"/>
        <w:rPr>
          <w:rFonts w:ascii="仿宋_GB2312"/>
          <w:szCs w:val="32"/>
        </w:rPr>
      </w:pPr>
      <w:r>
        <w:rPr>
          <w:rFonts w:hint="eastAsia" w:ascii="黑体" w:hAnsi="黑体" w:eastAsia="黑体" w:cs="黑体"/>
          <w:bCs/>
          <w:szCs w:val="32"/>
        </w:rPr>
        <w:t>三、下一步改进措施</w:t>
      </w:r>
    </w:p>
    <w:p w14:paraId="30DC2022">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1.下一步拟改进措施。</w:t>
      </w:r>
    </w:p>
    <w:p w14:paraId="2CBCEF5C">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合理编制预算，严格执行预算。要按照《预算法》及《预算法实施条例》的相关规定，参照上一年的预算执行情况和部门重点工作等科学编制预算，避免年中大幅追加。同时，严格预算执行，提高资金使用效率。</w:t>
      </w:r>
    </w:p>
    <w:p w14:paraId="225864A5">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加大对计划生育工作的投入力度，使越来越多的老百了解计划生育工作，及时掌握计划生育政策。重视计划生育工作，提高人口质量，改善人口结构、促进我县人口的全面发展。进一步加计生事业投入力度，建立健全、稳定的财政投入机制确保该项目有效运转。</w:t>
      </w:r>
    </w:p>
    <w:p w14:paraId="7E3CFB49">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拟与预算安排相结合情况。</w:t>
      </w:r>
    </w:p>
    <w:p w14:paraId="3BAAD77D">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rPr>
        <w:t>根据</w:t>
      </w:r>
      <w:r>
        <w:rPr>
          <w:rFonts w:hint="eastAsia"/>
          <w:sz w:val="28"/>
          <w:szCs w:val="28"/>
          <w:lang w:val="en-US" w:eastAsia="zh-CN"/>
        </w:rPr>
        <w:t>嘉鱼县</w:t>
      </w:r>
      <w:r>
        <w:rPr>
          <w:rFonts w:hint="eastAsia"/>
          <w:sz w:val="28"/>
          <w:szCs w:val="28"/>
        </w:rPr>
        <w:t>财政局下达</w:t>
      </w:r>
      <w:r>
        <w:rPr>
          <w:rFonts w:hint="eastAsia"/>
          <w:sz w:val="28"/>
          <w:szCs w:val="28"/>
          <w:lang w:eastAsia="zh-CN"/>
        </w:rPr>
        <w:t>2024</w:t>
      </w:r>
      <w:r>
        <w:rPr>
          <w:rFonts w:hint="eastAsia"/>
          <w:sz w:val="28"/>
          <w:szCs w:val="28"/>
        </w:rPr>
        <w:t>年项目预算控制数，全盘考虑项目发展情况，预算支出进一步细化。根据年度目标任务，结合职责，在充分研究的基础上，确定本单位年度绩效管理指标体系，并通过指标和目标值的层层分解，将目标细化到岗位，明确到具体责任人。</w:t>
      </w:r>
    </w:p>
    <w:p w14:paraId="53B072D5">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600" w:firstLineChars="200"/>
        <w:textAlignment w:val="auto"/>
        <w:rPr>
          <w:rFonts w:hint="eastAsia" w:ascii="黑体" w:hAnsi="黑体" w:eastAsia="黑体" w:cs="黑体"/>
          <w:bCs/>
          <w:szCs w:val="32"/>
        </w:rPr>
      </w:pPr>
      <w:r>
        <w:rPr>
          <w:rFonts w:hint="eastAsia" w:ascii="黑体" w:hAnsi="黑体" w:eastAsia="黑体" w:cs="黑体"/>
          <w:bCs/>
          <w:szCs w:val="32"/>
        </w:rPr>
        <w:t>绩效自评结果拟应用和公开情况</w:t>
      </w:r>
    </w:p>
    <w:p w14:paraId="37AB95ED">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为确实做好</w:t>
      </w:r>
      <w:r>
        <w:rPr>
          <w:rFonts w:hint="eastAsia"/>
          <w:sz w:val="28"/>
          <w:szCs w:val="28"/>
          <w:highlight w:val="none"/>
          <w:lang w:eastAsia="zh-CN"/>
        </w:rPr>
        <w:t>2024</w:t>
      </w:r>
      <w:r>
        <w:rPr>
          <w:rFonts w:hint="eastAsia"/>
          <w:sz w:val="28"/>
          <w:szCs w:val="28"/>
          <w:highlight w:val="none"/>
        </w:rPr>
        <w:t>年度</w:t>
      </w:r>
      <w:r>
        <w:rPr>
          <w:rFonts w:hint="eastAsia"/>
          <w:sz w:val="28"/>
          <w:szCs w:val="28"/>
          <w:highlight w:val="none"/>
          <w:lang w:eastAsia="zh-CN"/>
        </w:rPr>
        <w:t>计生转移支付</w:t>
      </w:r>
      <w:r>
        <w:rPr>
          <w:rFonts w:hint="eastAsia"/>
          <w:sz w:val="28"/>
          <w:szCs w:val="28"/>
          <w:highlight w:val="none"/>
        </w:rPr>
        <w:t>项目支出绩效自评工作，进一步规范财政资金管理，强化财政支出绩效理念和责任意识，切实提高财政资金使用效益，我局按照</w:t>
      </w:r>
      <w:r>
        <w:rPr>
          <w:rFonts w:hint="eastAsia"/>
          <w:sz w:val="28"/>
          <w:szCs w:val="28"/>
          <w:highlight w:val="none"/>
          <w:lang w:val="en-US" w:eastAsia="zh-CN"/>
        </w:rPr>
        <w:t>嘉鱼县</w:t>
      </w:r>
      <w:r>
        <w:rPr>
          <w:rFonts w:hint="eastAsia"/>
          <w:sz w:val="28"/>
          <w:szCs w:val="28"/>
          <w:highlight w:val="none"/>
        </w:rPr>
        <w:t>财政局的要求，开展了</w:t>
      </w:r>
      <w:r>
        <w:rPr>
          <w:rFonts w:hint="eastAsia"/>
          <w:sz w:val="28"/>
          <w:szCs w:val="28"/>
          <w:highlight w:val="none"/>
          <w:lang w:val="en-US" w:eastAsia="zh-CN"/>
        </w:rPr>
        <w:t>项目</w:t>
      </w:r>
      <w:r>
        <w:rPr>
          <w:rFonts w:hint="eastAsia"/>
          <w:sz w:val="28"/>
          <w:szCs w:val="28"/>
          <w:highlight w:val="none"/>
        </w:rPr>
        <w:t xml:space="preserve">支出绩效自评工作。 </w:t>
      </w:r>
    </w:p>
    <w:p w14:paraId="405AC01A">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一是成立工作小组。根据《嘉鱼县关于开展</w:t>
      </w:r>
      <w:r>
        <w:rPr>
          <w:rFonts w:hint="eastAsia"/>
          <w:sz w:val="28"/>
          <w:szCs w:val="28"/>
          <w:highlight w:val="none"/>
          <w:lang w:eastAsia="zh-CN"/>
        </w:rPr>
        <w:t>2024</w:t>
      </w:r>
      <w:r>
        <w:rPr>
          <w:rFonts w:hint="eastAsia"/>
          <w:sz w:val="28"/>
          <w:szCs w:val="28"/>
          <w:highlight w:val="none"/>
        </w:rPr>
        <w:t>年绩效自评工作的通知》（嘉财函绩[</w:t>
      </w:r>
      <w:r>
        <w:rPr>
          <w:rFonts w:hint="eastAsia"/>
          <w:sz w:val="28"/>
          <w:szCs w:val="28"/>
          <w:highlight w:val="none"/>
          <w:lang w:eastAsia="zh-CN"/>
        </w:rPr>
        <w:t>2024</w:t>
      </w:r>
      <w:r>
        <w:rPr>
          <w:rFonts w:hint="eastAsia"/>
          <w:sz w:val="28"/>
          <w:szCs w:val="28"/>
          <w:highlight w:val="none"/>
        </w:rPr>
        <w:t>]1号）文件精神，结合实际，我局组织成立了绩效评价工作小组，评价小组采取座谈等方式听取情况，检查基本支出、项目支出有关账目，收集整理支出相关资料，并根据各部门报送的绩效自评材料进行分析、总结。</w:t>
      </w:r>
    </w:p>
    <w:p w14:paraId="163B534F">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二是确定评价内容。重点评价</w:t>
      </w:r>
      <w:r>
        <w:rPr>
          <w:rFonts w:hint="eastAsia"/>
          <w:sz w:val="28"/>
          <w:szCs w:val="28"/>
          <w:highlight w:val="none"/>
          <w:lang w:eastAsia="zh-CN"/>
        </w:rPr>
        <w:t>2024</w:t>
      </w:r>
      <w:r>
        <w:rPr>
          <w:rFonts w:hint="eastAsia"/>
          <w:sz w:val="28"/>
          <w:szCs w:val="28"/>
          <w:highlight w:val="none"/>
        </w:rPr>
        <w:t xml:space="preserve">年度使用的全部财政性资金产生的效果，包括预算执行、部门产出和实施效果等方面，用以全面反映和考核部门预算管理水平、职能履行、整体预期目标完成等情况。 </w:t>
      </w:r>
    </w:p>
    <w:p w14:paraId="31282E94">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highlight w:val="none"/>
        </w:rPr>
      </w:pPr>
      <w:r>
        <w:rPr>
          <w:rFonts w:hint="eastAsia"/>
          <w:sz w:val="28"/>
          <w:szCs w:val="28"/>
          <w:highlight w:val="none"/>
        </w:rPr>
        <w:t>三是明确评价目标。经过前期绩效目标的填报，相关业务科室配合，采用指标与年度完成值相结合，于近期完成了</w:t>
      </w:r>
      <w:r>
        <w:rPr>
          <w:rFonts w:hint="eastAsia"/>
          <w:sz w:val="28"/>
          <w:szCs w:val="28"/>
          <w:highlight w:val="none"/>
          <w:lang w:eastAsia="zh-CN"/>
        </w:rPr>
        <w:t>2024</w:t>
      </w:r>
      <w:r>
        <w:rPr>
          <w:rFonts w:hint="eastAsia"/>
          <w:sz w:val="28"/>
          <w:szCs w:val="28"/>
          <w:highlight w:val="none"/>
        </w:rPr>
        <w:t>年度项目支出绩效评价工作。通过开展部门</w:t>
      </w:r>
      <w:r>
        <w:rPr>
          <w:rFonts w:hint="eastAsia"/>
          <w:sz w:val="28"/>
          <w:szCs w:val="28"/>
          <w:highlight w:val="none"/>
          <w:lang w:val="en-US" w:eastAsia="zh-CN"/>
        </w:rPr>
        <w:t>项目</w:t>
      </w:r>
      <w:r>
        <w:rPr>
          <w:rFonts w:hint="eastAsia"/>
          <w:sz w:val="28"/>
          <w:szCs w:val="28"/>
          <w:highlight w:val="none"/>
        </w:rPr>
        <w:t>支出绩效评价，促进了部门提升</w:t>
      </w:r>
      <w:r>
        <w:rPr>
          <w:rFonts w:hint="eastAsia"/>
          <w:sz w:val="28"/>
          <w:szCs w:val="28"/>
          <w:highlight w:val="none"/>
          <w:lang w:val="en-US" w:eastAsia="zh-CN"/>
        </w:rPr>
        <w:t>项目</w:t>
      </w:r>
      <w:r>
        <w:rPr>
          <w:rFonts w:hint="eastAsia"/>
          <w:sz w:val="28"/>
          <w:szCs w:val="28"/>
          <w:highlight w:val="none"/>
        </w:rPr>
        <w:t>预算绩效管理水平，强化</w:t>
      </w:r>
      <w:r>
        <w:rPr>
          <w:rFonts w:hint="eastAsia"/>
          <w:sz w:val="28"/>
          <w:szCs w:val="28"/>
          <w:highlight w:val="none"/>
          <w:lang w:val="en-US" w:eastAsia="zh-CN"/>
        </w:rPr>
        <w:t>项目</w:t>
      </w:r>
      <w:r>
        <w:rPr>
          <w:rFonts w:hint="eastAsia"/>
          <w:sz w:val="28"/>
          <w:szCs w:val="28"/>
          <w:highlight w:val="none"/>
        </w:rPr>
        <w:t xml:space="preserve">支出责任，规范资金管理行为，提高财政资金使用绩效，保障部门更好地履行职责。 </w:t>
      </w:r>
    </w:p>
    <w:p w14:paraId="7E3C172C">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sz w:val="28"/>
          <w:szCs w:val="28"/>
        </w:rPr>
      </w:pPr>
      <w:r>
        <w:rPr>
          <w:rFonts w:hint="eastAsia"/>
          <w:sz w:val="28"/>
          <w:szCs w:val="28"/>
          <w:highlight w:val="none"/>
        </w:rPr>
        <w:t>四是强化结果运用。</w:t>
      </w:r>
      <w:r>
        <w:rPr>
          <w:rFonts w:hint="eastAsia"/>
          <w:sz w:val="28"/>
          <w:szCs w:val="28"/>
          <w:highlight w:val="none"/>
          <w:lang w:val="en-US" w:eastAsia="zh-CN"/>
        </w:rPr>
        <w:t>项目</w:t>
      </w:r>
      <w:r>
        <w:rPr>
          <w:rFonts w:hint="eastAsia"/>
          <w:sz w:val="28"/>
          <w:szCs w:val="28"/>
          <w:highlight w:val="none"/>
        </w:rPr>
        <w:t xml:space="preserve">支出绩效评价是预算绩效管理工作的内容之一，将作为以后年度单位预算安排和调整的基本依据，并列入市级预算单位全年财政资金绩效管理工作考核内容。 </w:t>
      </w:r>
    </w:p>
    <w:p w14:paraId="5FAA2B98">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0" w:firstLineChars="200"/>
        <w:textAlignment w:val="auto"/>
        <w:rPr>
          <w:rFonts w:hint="eastAsia" w:ascii="黑体" w:hAnsi="黑体" w:eastAsia="黑体" w:cs="黑体"/>
          <w:b w:val="0"/>
          <w:bCs/>
          <w:sz w:val="30"/>
          <w:szCs w:val="30"/>
          <w:lang w:eastAsia="zh-CN"/>
        </w:rPr>
      </w:pPr>
      <w:r>
        <w:rPr>
          <w:rFonts w:hint="eastAsia" w:ascii="Times New Roman" w:hAnsi="Times New Roman" w:cs="Times New Roman"/>
          <w:sz w:val="28"/>
          <w:szCs w:val="28"/>
          <w:highlight w:val="none"/>
          <w:lang w:eastAsia="zh-CN"/>
        </w:rPr>
        <w:t>绩效评价结果将在县政府公务网站上公开。</w:t>
      </w:r>
    </w:p>
    <w:p w14:paraId="1AFD9D41">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600" w:firstLineChars="200"/>
        <w:textAlignment w:val="auto"/>
        <w:rPr>
          <w:rFonts w:hint="eastAsia" w:ascii="黑体" w:hAnsi="黑体" w:eastAsia="黑体" w:cs="黑体"/>
          <w:bCs/>
          <w:szCs w:val="32"/>
        </w:rPr>
      </w:pPr>
      <w:r>
        <w:rPr>
          <w:rFonts w:hint="eastAsia" w:ascii="黑体" w:hAnsi="黑体" w:eastAsia="黑体" w:cs="黑体"/>
          <w:bCs/>
          <w:szCs w:val="32"/>
        </w:rPr>
        <w:t>其他需要说明的问题</w:t>
      </w:r>
    </w:p>
    <w:p w14:paraId="2574CB33">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1120" w:firstLineChars="400"/>
        <w:textAlignment w:val="auto"/>
        <w:rPr>
          <w:rFonts w:hint="eastAsia" w:ascii="Times New Roman" w:hAnsi="Times New Roman" w:cs="Times New Roman"/>
          <w:sz w:val="28"/>
          <w:szCs w:val="28"/>
          <w:highlight w:val="none"/>
          <w:lang w:eastAsia="zh-CN"/>
        </w:rPr>
      </w:pPr>
      <w:r>
        <w:rPr>
          <w:rFonts w:hint="eastAsia" w:ascii="Times New Roman" w:hAnsi="Times New Roman" w:cs="Times New Roman"/>
          <w:sz w:val="28"/>
          <w:szCs w:val="28"/>
          <w:highlight w:val="none"/>
          <w:lang w:eastAsia="zh-CN"/>
        </w:rPr>
        <w:t>无其他需要说明的问题</w:t>
      </w:r>
    </w:p>
    <w:p w14:paraId="4D44294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1120" w:firstLineChars="400"/>
        <w:textAlignment w:val="auto"/>
        <w:rPr>
          <w:rFonts w:hint="eastAsia" w:ascii="Times New Roman" w:hAnsi="Times New Roman" w:cs="Times New Roman"/>
          <w:sz w:val="28"/>
          <w:szCs w:val="28"/>
          <w:highlight w:val="none"/>
          <w:lang w:eastAsia="zh-CN"/>
        </w:rPr>
      </w:pPr>
    </w:p>
    <w:p w14:paraId="42E5CEEC">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1120" w:firstLineChars="400"/>
        <w:textAlignment w:val="auto"/>
        <w:rPr>
          <w:rFonts w:hint="eastAsia" w:ascii="Times New Roman" w:hAnsi="Times New Roman" w:cs="Times New Roman"/>
          <w:sz w:val="28"/>
          <w:szCs w:val="28"/>
          <w:highlight w:val="none"/>
          <w:lang w:eastAsia="zh-CN"/>
        </w:rPr>
      </w:pPr>
    </w:p>
    <w:p w14:paraId="18C41CD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3920" w:firstLineChars="1400"/>
        <w:textAlignment w:val="auto"/>
        <w:rPr>
          <w:rFonts w:hint="eastAsia" w:cs="Times New Roman"/>
          <w:sz w:val="28"/>
          <w:szCs w:val="28"/>
          <w:highlight w:val="none"/>
          <w:lang w:val="en-US" w:eastAsia="zh-CN"/>
        </w:rPr>
      </w:pPr>
      <w:r>
        <w:rPr>
          <w:rFonts w:hint="eastAsia" w:cs="Times New Roman"/>
          <w:sz w:val="28"/>
          <w:szCs w:val="28"/>
          <w:highlight w:val="none"/>
          <w:lang w:val="en-US" w:eastAsia="zh-CN"/>
        </w:rPr>
        <w:t>嘉鱼县卫生健康局</w:t>
      </w:r>
    </w:p>
    <w:p w14:paraId="525D846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0" w:firstLineChars="1500"/>
        <w:textAlignment w:val="auto"/>
        <w:rPr>
          <w:rFonts w:hint="default" w:cs="Times New Roman"/>
          <w:sz w:val="28"/>
          <w:szCs w:val="28"/>
          <w:highlight w:val="none"/>
          <w:lang w:val="en-US" w:eastAsia="zh-CN"/>
        </w:rPr>
      </w:pPr>
      <w:r>
        <w:rPr>
          <w:rFonts w:hint="eastAsia" w:cs="Times New Roman"/>
          <w:sz w:val="28"/>
          <w:szCs w:val="28"/>
          <w:highlight w:val="none"/>
          <w:lang w:val="en-US" w:eastAsia="zh-CN"/>
        </w:rPr>
        <w:t>2025年5月13日</w:t>
      </w:r>
    </w:p>
    <w:p w14:paraId="708B92AD">
      <w:pPr>
        <w:rPr>
          <w:rFonts w:hint="eastAsia"/>
          <w:lang w:val="en-US" w:eastAsia="zh-CN"/>
        </w:rPr>
      </w:pPr>
      <w:r>
        <w:rPr>
          <w:rFonts w:hint="eastAsia"/>
          <w:lang w:val="en-US" w:eastAsia="zh-CN"/>
        </w:rPr>
        <w:t xml:space="preserve">   </w:t>
      </w:r>
      <w:bookmarkStart w:id="0" w:name="_GoBack"/>
      <w:r>
        <w:rPr>
          <w:rFonts w:hint="eastAsia"/>
          <w:lang w:val="en-US" w:eastAsia="zh-CN"/>
        </w:rPr>
        <w:drawing>
          <wp:inline distT="0" distB="0" distL="114300" distR="114300">
            <wp:extent cx="1552575" cy="1571625"/>
            <wp:effectExtent l="0" t="0" r="9525" b="9525"/>
            <wp:docPr id="1" name="图片 1" descr="EAD5F16AD56F53E6BD215957835C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AD5F16AD56F53E6BD215957835C7832"/>
                    <pic:cNvPicPr>
                      <a:picLocks noChangeAspect="1"/>
                    </pic:cNvPicPr>
                  </pic:nvPicPr>
                  <pic:blipFill>
                    <a:blip r:embed="rId5"/>
                    <a:stretch>
                      <a:fillRect/>
                    </a:stretch>
                  </pic:blipFill>
                  <pic:spPr>
                    <a:xfrm>
                      <a:off x="0" y="0"/>
                      <a:ext cx="1552575" cy="1571625"/>
                    </a:xfrm>
                    <a:prstGeom prst="rect">
                      <a:avLst/>
                    </a:prstGeom>
                  </pic:spPr>
                </pic:pic>
              </a:graphicData>
            </a:graphic>
          </wp:inline>
        </w:drawing>
      </w:r>
      <w:bookmarkEnd w:id="0"/>
    </w:p>
    <w:p w14:paraId="71B81F2E">
      <w:pPr>
        <w:rPr>
          <w:rFonts w:hint="eastAsia"/>
          <w:lang w:val="en-US" w:eastAsia="zh-CN"/>
        </w:rPr>
      </w:pPr>
    </w:p>
    <w:p w14:paraId="5ADE5649">
      <w:pPr>
        <w:rPr>
          <w:rFonts w:hint="eastAsia"/>
          <w:lang w:val="en-US" w:eastAsia="zh-CN"/>
        </w:rPr>
      </w:pPr>
    </w:p>
    <w:p w14:paraId="16CA9508">
      <w:pPr>
        <w:rPr>
          <w:rFonts w:hint="default"/>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5F3C">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FA5850"/>
    <w:multiLevelType w:val="singleLevel"/>
    <w:tmpl w:val="A4FA5850"/>
    <w:lvl w:ilvl="0" w:tentative="0">
      <w:start w:val="2"/>
      <w:numFmt w:val="decimal"/>
      <w:suff w:val="nothing"/>
      <w:lvlText w:val="（%1）"/>
      <w:lvlJc w:val="left"/>
    </w:lvl>
  </w:abstractNum>
  <w:abstractNum w:abstractNumId="1">
    <w:nsid w:val="D9AF7B18"/>
    <w:multiLevelType w:val="singleLevel"/>
    <w:tmpl w:val="D9AF7B18"/>
    <w:lvl w:ilvl="0" w:tentative="0">
      <w:start w:val="2"/>
      <w:numFmt w:val="decimal"/>
      <w:lvlText w:val="%1."/>
      <w:lvlJc w:val="left"/>
      <w:pPr>
        <w:tabs>
          <w:tab w:val="left" w:pos="312"/>
        </w:tabs>
      </w:pPr>
    </w:lvl>
  </w:abstractNum>
  <w:abstractNum w:abstractNumId="2">
    <w:nsid w:val="F128A4F0"/>
    <w:multiLevelType w:val="singleLevel"/>
    <w:tmpl w:val="F128A4F0"/>
    <w:lvl w:ilvl="0" w:tentative="0">
      <w:start w:val="4"/>
      <w:numFmt w:val="chineseCounting"/>
      <w:suff w:val="nothing"/>
      <w:lvlText w:val="%1、"/>
      <w:lvlJc w:val="left"/>
      <w:rPr>
        <w:rFonts w:hint="eastAsia"/>
      </w:rPr>
    </w:lvl>
  </w:abstractNum>
  <w:abstractNum w:abstractNumId="3">
    <w:nsid w:val="0716F2BB"/>
    <w:multiLevelType w:val="singleLevel"/>
    <w:tmpl w:val="0716F2BB"/>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14DFF"/>
    <w:rsid w:val="3DC54FBA"/>
    <w:rsid w:val="4F714DFF"/>
    <w:rsid w:val="5CE03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2025-05-16T07:00:00Z</dcterms:created>
  <dc:creator> 勤</dc:creator>
  <cp:lastModifiedBy> 勤</cp:lastModifiedBy>
  <dcterms:modified xsi:type="dcterms:W3CDTF">2025-05-16T07:03:19Z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19BC36A76F6B4E54B9F92C48AE7D6EA6_11</vt:lpwstr>
  </property>
  <property fmtid="{D5CDD505-2E9C-101B-9397-08002B2CF9AE}" pid="4" name="KSOTemplateDocerSaveRecord">
    <vt:lpwstr>eyJoZGlkIjoiMDk1NjlkNTlkODQyMjE4MDAwNDZjZTAzZjI4MDE2MGIiLCJ1c2VySWQiOiI1MTQ4MzkyNzEifQ==</vt:lpwstr>
  </property>
</Properties>
</file>