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7A565A">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Arial" w:hAnsi="Arial" w:eastAsia="宋体" w:cs="Arial"/>
          <w:b/>
          <w:sz w:val="36"/>
          <w:szCs w:val="44"/>
          <w:lang w:val="en-US" w:eastAsia="zh-CN"/>
        </w:rPr>
      </w:pPr>
    </w:p>
    <w:p w14:paraId="7BA31B1D">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Arial" w:hAnsi="Arial" w:eastAsia="宋体" w:cs="Arial"/>
          <w:b/>
          <w:sz w:val="36"/>
          <w:szCs w:val="44"/>
          <w:lang w:val="en-US" w:eastAsia="zh-CN"/>
        </w:rPr>
      </w:pPr>
    </w:p>
    <w:p w14:paraId="7EA3B4AD">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Arial" w:hAnsi="Arial" w:eastAsia="宋体" w:cs="Arial"/>
          <w:b/>
          <w:sz w:val="36"/>
          <w:szCs w:val="44"/>
          <w:lang w:eastAsia="zh-CN"/>
        </w:rPr>
      </w:pPr>
      <w:bookmarkStart w:id="0" w:name="_GoBack"/>
      <w:bookmarkEnd w:id="0"/>
      <w:r>
        <w:rPr>
          <w:rFonts w:hint="eastAsia" w:ascii="Arial" w:hAnsi="Arial" w:eastAsia="宋体" w:cs="Arial"/>
          <w:b/>
          <w:sz w:val="36"/>
          <w:szCs w:val="44"/>
          <w:lang w:val="en-US" w:eastAsia="zh-CN"/>
        </w:rPr>
        <w:t>2024年度</w:t>
      </w:r>
      <w:r>
        <w:rPr>
          <w:rFonts w:hint="eastAsia" w:ascii="Arial" w:hAnsi="Arial" w:eastAsia="宋体" w:cs="Arial"/>
          <w:b/>
          <w:sz w:val="36"/>
          <w:szCs w:val="44"/>
          <w:lang w:eastAsia="zh-CN"/>
        </w:rPr>
        <w:t>嘉鱼县基本公共卫生服务资金</w:t>
      </w:r>
    </w:p>
    <w:p w14:paraId="748B229F">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宋体" w:hAnsi="宋体" w:eastAsia="宋体" w:cs="宋体"/>
          <w:b/>
          <w:sz w:val="36"/>
          <w:szCs w:val="44"/>
        </w:rPr>
      </w:pPr>
      <w:r>
        <w:rPr>
          <w:rFonts w:hint="eastAsia" w:ascii="宋体" w:hAnsi="宋体" w:eastAsia="宋体" w:cs="宋体"/>
          <w:b/>
          <w:sz w:val="36"/>
          <w:szCs w:val="44"/>
        </w:rPr>
        <w:t>绩效自评报告</w:t>
      </w:r>
    </w:p>
    <w:p w14:paraId="5D45DA08">
      <w:pPr>
        <w:keepNext w:val="0"/>
        <w:keepLines w:val="0"/>
        <w:pageBreakBefore w:val="0"/>
        <w:kinsoku/>
        <w:wordWrap/>
        <w:overflowPunct/>
        <w:topLinePunct w:val="0"/>
        <w:autoSpaceDN/>
        <w:bidi w:val="0"/>
        <w:spacing w:line="300" w:lineRule="exact"/>
        <w:jc w:val="center"/>
        <w:textAlignment w:val="auto"/>
        <w:rPr>
          <w:rFonts w:ascii="仿宋_GB2312"/>
          <w:szCs w:val="32"/>
        </w:rPr>
      </w:pPr>
    </w:p>
    <w:p w14:paraId="63FC393E">
      <w:pPr>
        <w:keepNext w:val="0"/>
        <w:keepLines w:val="0"/>
        <w:pageBreakBefore w:val="0"/>
        <w:numPr>
          <w:ilvl w:val="0"/>
          <w:numId w:val="0"/>
        </w:numPr>
        <w:kinsoku/>
        <w:wordWrap/>
        <w:overflowPunct/>
        <w:topLinePunct w:val="0"/>
        <w:autoSpaceDN/>
        <w:bidi w:val="0"/>
        <w:adjustRightInd w:val="0"/>
        <w:snapToGrid w:val="0"/>
        <w:spacing w:line="300" w:lineRule="exact"/>
        <w:ind w:firstLine="600" w:firstLineChars="200"/>
        <w:textAlignment w:val="auto"/>
        <w:rPr>
          <w:rFonts w:hint="eastAsia" w:ascii="仿宋" w:hAnsi="仿宋" w:eastAsia="仿宋"/>
          <w:sz w:val="30"/>
          <w:szCs w:val="30"/>
        </w:rPr>
      </w:pPr>
      <w:r>
        <w:rPr>
          <w:rFonts w:ascii="仿宋" w:hAnsi="仿宋" w:eastAsia="仿宋"/>
          <w:color w:val="000000"/>
          <w:sz w:val="30"/>
          <w:szCs w:val="30"/>
        </w:rPr>
        <w:t>为科学评价</w:t>
      </w:r>
      <w:r>
        <w:rPr>
          <w:rFonts w:hint="eastAsia" w:ascii="仿宋" w:hAnsi="仿宋" w:eastAsia="仿宋"/>
          <w:color w:val="000000"/>
          <w:sz w:val="30"/>
          <w:szCs w:val="30"/>
          <w:lang w:val="en-US" w:eastAsia="zh-CN"/>
        </w:rPr>
        <w:t>2024</w:t>
      </w:r>
      <w:r>
        <w:rPr>
          <w:rFonts w:ascii="仿宋" w:hAnsi="仿宋" w:eastAsia="仿宋"/>
          <w:color w:val="000000"/>
          <w:sz w:val="30"/>
          <w:szCs w:val="30"/>
        </w:rPr>
        <w:t>年</w:t>
      </w:r>
      <w:r>
        <w:rPr>
          <w:rFonts w:hint="eastAsia" w:ascii="仿宋" w:hAnsi="仿宋" w:eastAsia="仿宋"/>
          <w:color w:val="000000"/>
          <w:sz w:val="30"/>
          <w:szCs w:val="30"/>
          <w:lang w:eastAsia="zh-CN"/>
        </w:rPr>
        <w:t>基本公共卫生</w:t>
      </w:r>
      <w:r>
        <w:rPr>
          <w:rFonts w:hint="eastAsia" w:ascii="仿宋" w:hAnsi="仿宋" w:eastAsia="仿宋"/>
          <w:color w:val="000000"/>
          <w:sz w:val="30"/>
          <w:szCs w:val="30"/>
        </w:rPr>
        <w:t>项目</w:t>
      </w:r>
      <w:r>
        <w:rPr>
          <w:rFonts w:ascii="仿宋" w:hAnsi="仿宋" w:eastAsia="仿宋"/>
          <w:color w:val="000000"/>
          <w:sz w:val="30"/>
          <w:szCs w:val="30"/>
        </w:rPr>
        <w:t>绩效成效，根据</w:t>
      </w:r>
      <w:r>
        <w:rPr>
          <w:rFonts w:hint="eastAsia" w:ascii="仿宋" w:hAnsi="仿宋" w:eastAsia="仿宋"/>
          <w:color w:val="000000"/>
          <w:sz w:val="30"/>
          <w:szCs w:val="30"/>
          <w:lang w:eastAsia="zh-CN"/>
        </w:rPr>
        <w:t>该</w:t>
      </w:r>
      <w:r>
        <w:rPr>
          <w:rFonts w:ascii="仿宋" w:hAnsi="仿宋" w:eastAsia="仿宋"/>
          <w:color w:val="000000"/>
          <w:sz w:val="30"/>
          <w:szCs w:val="30"/>
        </w:rPr>
        <w:t>项目绩效自评工作要求，嘉鱼县高度重视，迅速抽调县财政和县卫计局相关股室及</w:t>
      </w:r>
      <w:r>
        <w:rPr>
          <w:rFonts w:hint="eastAsia" w:ascii="仿宋" w:hAnsi="仿宋" w:eastAsia="仿宋"/>
          <w:color w:val="000000"/>
          <w:sz w:val="30"/>
          <w:szCs w:val="30"/>
          <w:lang w:eastAsia="zh-CN"/>
        </w:rPr>
        <w:t>各乡镇医院负责人</w:t>
      </w:r>
      <w:r>
        <w:rPr>
          <w:rFonts w:ascii="仿宋" w:hAnsi="仿宋" w:eastAsia="仿宋"/>
          <w:color w:val="000000"/>
          <w:sz w:val="30"/>
          <w:szCs w:val="30"/>
        </w:rPr>
        <w:t>组建工作专班，集中组织学习相关文件，进行自评解析，仔细搜集整理资料，及时汇总上报，确保</w:t>
      </w:r>
      <w:r>
        <w:rPr>
          <w:rFonts w:hint="eastAsia" w:ascii="仿宋" w:hAnsi="仿宋" w:eastAsia="仿宋"/>
          <w:color w:val="000000"/>
          <w:sz w:val="30"/>
          <w:szCs w:val="30"/>
        </w:rPr>
        <w:t>改革</w:t>
      </w:r>
      <w:r>
        <w:rPr>
          <w:rFonts w:ascii="仿宋" w:hAnsi="仿宋" w:eastAsia="仿宋"/>
          <w:color w:val="000000"/>
          <w:sz w:val="30"/>
          <w:szCs w:val="30"/>
        </w:rPr>
        <w:t xml:space="preserve">项目绩效自评工作数据真实，情况明晰。  </w:t>
      </w:r>
    </w:p>
    <w:p w14:paraId="4102D4C4">
      <w:pPr>
        <w:keepNext w:val="0"/>
        <w:keepLines w:val="0"/>
        <w:pageBreakBefore w:val="0"/>
        <w:kinsoku/>
        <w:wordWrap/>
        <w:overflowPunct/>
        <w:topLinePunct w:val="0"/>
        <w:autoSpaceDN/>
        <w:bidi w:val="0"/>
        <w:adjustRightInd w:val="0"/>
        <w:snapToGrid w:val="0"/>
        <w:spacing w:line="300" w:lineRule="exact"/>
        <w:ind w:firstLine="640"/>
        <w:textAlignment w:val="auto"/>
        <w:rPr>
          <w:rFonts w:hint="eastAsia" w:ascii="黑体" w:hAnsi="黑体" w:eastAsia="黑体"/>
          <w:sz w:val="30"/>
          <w:szCs w:val="30"/>
        </w:rPr>
      </w:pPr>
      <w:r>
        <w:rPr>
          <w:rFonts w:hint="eastAsia" w:ascii="黑体" w:hAnsi="黑体" w:eastAsia="黑体"/>
          <w:sz w:val="30"/>
          <w:szCs w:val="30"/>
          <w:lang w:eastAsia="zh-CN"/>
        </w:rPr>
        <w:t>一</w:t>
      </w:r>
      <w:r>
        <w:rPr>
          <w:rFonts w:hint="eastAsia" w:ascii="黑体" w:hAnsi="黑体" w:eastAsia="黑体"/>
          <w:sz w:val="30"/>
          <w:szCs w:val="30"/>
        </w:rPr>
        <w:t>、绩效目标分解下达情况</w:t>
      </w:r>
    </w:p>
    <w:p w14:paraId="477C1D6A">
      <w:pPr>
        <w:keepNext w:val="0"/>
        <w:keepLines w:val="0"/>
        <w:pageBreakBefore w:val="0"/>
        <w:kinsoku/>
        <w:wordWrap/>
        <w:overflowPunct/>
        <w:topLinePunct w:val="0"/>
        <w:autoSpaceDN/>
        <w:bidi w:val="0"/>
        <w:adjustRightInd w:val="0"/>
        <w:snapToGrid w:val="0"/>
        <w:spacing w:line="300" w:lineRule="exact"/>
        <w:ind w:firstLine="640"/>
        <w:textAlignment w:val="auto"/>
        <w:rPr>
          <w:rFonts w:hint="eastAsia" w:ascii="仿宋" w:hAnsi="仿宋" w:eastAsia="仿宋"/>
          <w:sz w:val="30"/>
          <w:szCs w:val="30"/>
        </w:rPr>
      </w:pPr>
      <w:r>
        <w:rPr>
          <w:rFonts w:hint="eastAsia" w:ascii="黑体" w:hAnsi="黑体" w:eastAsia="黑体"/>
          <w:sz w:val="30"/>
          <w:szCs w:val="30"/>
        </w:rPr>
        <w:t>（</w:t>
      </w:r>
      <w:r>
        <w:rPr>
          <w:rFonts w:hint="eastAsia" w:ascii="仿宋" w:hAnsi="仿宋" w:eastAsia="仿宋"/>
          <w:b/>
          <w:bCs/>
          <w:sz w:val="30"/>
          <w:szCs w:val="30"/>
        </w:rPr>
        <w:t>一）</w:t>
      </w:r>
      <w:r>
        <w:rPr>
          <w:rFonts w:hint="eastAsia" w:ascii="仿宋" w:hAnsi="仿宋" w:eastAsia="仿宋"/>
          <w:b/>
          <w:bCs/>
          <w:sz w:val="30"/>
          <w:szCs w:val="30"/>
          <w:lang w:eastAsia="zh-CN"/>
        </w:rPr>
        <w:t>中</w:t>
      </w:r>
      <w:r>
        <w:rPr>
          <w:rFonts w:hint="eastAsia" w:ascii="仿宋" w:hAnsi="仿宋" w:eastAsia="仿宋"/>
          <w:b/>
          <w:bCs/>
          <w:sz w:val="30"/>
          <w:szCs w:val="30"/>
        </w:rPr>
        <w:t>央下达</w:t>
      </w:r>
      <w:r>
        <w:rPr>
          <w:rFonts w:hint="eastAsia" w:ascii="仿宋" w:hAnsi="仿宋" w:eastAsia="仿宋"/>
          <w:b/>
          <w:bCs/>
          <w:sz w:val="30"/>
          <w:szCs w:val="30"/>
          <w:lang w:eastAsia="zh-CN"/>
        </w:rPr>
        <w:t>基本公共卫生项目</w:t>
      </w:r>
      <w:r>
        <w:rPr>
          <w:rFonts w:hint="eastAsia" w:ascii="仿宋" w:hAnsi="仿宋" w:eastAsia="仿宋"/>
          <w:b/>
          <w:bCs/>
          <w:sz w:val="30"/>
          <w:szCs w:val="30"/>
        </w:rPr>
        <w:t>预算</w:t>
      </w:r>
      <w:r>
        <w:rPr>
          <w:rFonts w:hint="eastAsia" w:ascii="仿宋" w:hAnsi="仿宋" w:eastAsia="仿宋"/>
          <w:b/>
          <w:bCs/>
          <w:sz w:val="30"/>
          <w:szCs w:val="30"/>
          <w:lang w:eastAsia="zh-CN"/>
        </w:rPr>
        <w:t>情况：</w:t>
      </w:r>
      <w:r>
        <w:rPr>
          <w:rFonts w:hint="eastAsia" w:ascii="仿宋" w:hAnsi="仿宋" w:eastAsia="仿宋"/>
          <w:sz w:val="30"/>
          <w:szCs w:val="30"/>
          <w:lang w:eastAsia="zh-CN"/>
        </w:rPr>
        <w:t>202</w:t>
      </w:r>
      <w:r>
        <w:rPr>
          <w:rFonts w:hint="eastAsia" w:ascii="仿宋" w:hAnsi="仿宋" w:eastAsia="仿宋"/>
          <w:sz w:val="30"/>
          <w:szCs w:val="30"/>
          <w:lang w:val="en-US" w:eastAsia="zh-CN"/>
        </w:rPr>
        <w:t>4</w:t>
      </w:r>
      <w:r>
        <w:rPr>
          <w:rFonts w:hint="eastAsia" w:ascii="仿宋" w:hAnsi="仿宋" w:eastAsia="仿宋"/>
          <w:sz w:val="30"/>
          <w:szCs w:val="30"/>
        </w:rPr>
        <w:t>年中央下达</w:t>
      </w:r>
      <w:r>
        <w:rPr>
          <w:rFonts w:hint="eastAsia" w:ascii="仿宋" w:hAnsi="仿宋" w:eastAsia="仿宋"/>
          <w:sz w:val="30"/>
          <w:szCs w:val="30"/>
          <w:lang w:eastAsia="zh-CN"/>
        </w:rPr>
        <w:t>基本公共卫生项目</w:t>
      </w:r>
      <w:r>
        <w:rPr>
          <w:rFonts w:hint="eastAsia" w:ascii="仿宋" w:hAnsi="仿宋" w:eastAsia="仿宋"/>
          <w:sz w:val="30"/>
          <w:szCs w:val="30"/>
        </w:rPr>
        <w:t>支付预算</w:t>
      </w:r>
      <w:r>
        <w:rPr>
          <w:rFonts w:hint="eastAsia" w:ascii="仿宋" w:hAnsi="仿宋" w:eastAsia="仿宋"/>
          <w:sz w:val="30"/>
          <w:szCs w:val="30"/>
          <w:lang w:val="en-US" w:eastAsia="zh-CN"/>
        </w:rPr>
        <w:t>1692</w:t>
      </w:r>
      <w:r>
        <w:rPr>
          <w:rFonts w:hint="eastAsia" w:ascii="仿宋" w:hAnsi="仿宋" w:eastAsia="仿宋"/>
          <w:sz w:val="30"/>
          <w:szCs w:val="30"/>
        </w:rPr>
        <w:t>万元；</w:t>
      </w:r>
    </w:p>
    <w:p w14:paraId="35303476">
      <w:pPr>
        <w:keepNext w:val="0"/>
        <w:keepLines w:val="0"/>
        <w:pageBreakBefore w:val="0"/>
        <w:kinsoku/>
        <w:wordWrap/>
        <w:overflowPunct/>
        <w:topLinePunct w:val="0"/>
        <w:autoSpaceDN/>
        <w:bidi w:val="0"/>
        <w:adjustRightInd w:val="0"/>
        <w:snapToGrid w:val="0"/>
        <w:spacing w:line="300" w:lineRule="exact"/>
        <w:ind w:firstLine="640"/>
        <w:textAlignment w:val="auto"/>
        <w:rPr>
          <w:rFonts w:hint="eastAsia" w:ascii="仿宋" w:hAnsi="仿宋" w:eastAsia="仿宋"/>
          <w:sz w:val="30"/>
          <w:szCs w:val="30"/>
        </w:rPr>
      </w:pPr>
      <w:r>
        <w:rPr>
          <w:rFonts w:hint="eastAsia" w:ascii="仿宋" w:hAnsi="仿宋" w:eastAsia="仿宋"/>
          <w:b/>
          <w:bCs/>
          <w:sz w:val="30"/>
          <w:szCs w:val="30"/>
        </w:rPr>
        <w:t>（二）省内分解下达预算情况</w:t>
      </w:r>
      <w:r>
        <w:rPr>
          <w:rFonts w:hint="eastAsia" w:ascii="仿宋" w:hAnsi="仿宋" w:eastAsia="仿宋"/>
          <w:b/>
          <w:bCs/>
          <w:sz w:val="30"/>
          <w:szCs w:val="30"/>
          <w:lang w:eastAsia="zh-CN"/>
        </w:rPr>
        <w:t>：</w:t>
      </w:r>
      <w:r>
        <w:rPr>
          <w:rFonts w:hint="eastAsia" w:ascii="仿宋" w:hAnsi="仿宋" w:eastAsia="仿宋"/>
          <w:sz w:val="30"/>
          <w:szCs w:val="30"/>
          <w:lang w:eastAsia="zh-CN"/>
        </w:rPr>
        <w:t>202</w:t>
      </w:r>
      <w:r>
        <w:rPr>
          <w:rFonts w:hint="eastAsia" w:ascii="仿宋" w:hAnsi="仿宋" w:eastAsia="仿宋"/>
          <w:sz w:val="30"/>
          <w:szCs w:val="30"/>
          <w:lang w:val="en-US" w:eastAsia="zh-CN"/>
        </w:rPr>
        <w:t>4</w:t>
      </w:r>
      <w:r>
        <w:rPr>
          <w:rFonts w:hint="eastAsia" w:ascii="仿宋" w:hAnsi="仿宋" w:eastAsia="仿宋"/>
          <w:sz w:val="30"/>
          <w:szCs w:val="30"/>
        </w:rPr>
        <w:t>年</w:t>
      </w:r>
      <w:r>
        <w:rPr>
          <w:rFonts w:hint="eastAsia" w:ascii="仿宋" w:hAnsi="仿宋" w:eastAsia="仿宋"/>
          <w:sz w:val="30"/>
          <w:szCs w:val="30"/>
          <w:lang w:eastAsia="zh-CN"/>
        </w:rPr>
        <w:t>省级下达</w:t>
      </w:r>
      <w:r>
        <w:rPr>
          <w:rFonts w:hint="eastAsia" w:ascii="仿宋" w:hAnsi="仿宋" w:eastAsia="仿宋"/>
          <w:color w:val="000000"/>
          <w:sz w:val="30"/>
          <w:szCs w:val="30"/>
          <w:lang w:eastAsia="zh-CN"/>
        </w:rPr>
        <w:t>基本公共卫生</w:t>
      </w:r>
      <w:r>
        <w:rPr>
          <w:rFonts w:hint="eastAsia" w:ascii="仿宋" w:hAnsi="仿宋" w:eastAsia="仿宋"/>
          <w:color w:val="000000"/>
          <w:sz w:val="30"/>
          <w:szCs w:val="30"/>
        </w:rPr>
        <w:t>项目</w:t>
      </w:r>
      <w:r>
        <w:rPr>
          <w:rFonts w:hint="eastAsia" w:ascii="仿宋" w:hAnsi="仿宋" w:eastAsia="仿宋"/>
          <w:color w:val="000000"/>
          <w:sz w:val="30"/>
          <w:szCs w:val="30"/>
          <w:lang w:eastAsia="zh-CN"/>
        </w:rPr>
        <w:t>预算</w:t>
      </w:r>
      <w:r>
        <w:rPr>
          <w:rFonts w:hint="eastAsia" w:ascii="仿宋" w:hAnsi="仿宋" w:eastAsia="仿宋"/>
          <w:color w:val="000000"/>
          <w:sz w:val="30"/>
          <w:szCs w:val="30"/>
          <w:lang w:val="en-US" w:eastAsia="zh-CN"/>
        </w:rPr>
        <w:t>528万元，</w:t>
      </w:r>
      <w:r>
        <w:rPr>
          <w:rFonts w:hint="eastAsia" w:ascii="仿宋" w:hAnsi="仿宋" w:eastAsia="仿宋"/>
          <w:sz w:val="30"/>
          <w:szCs w:val="30"/>
          <w:lang w:eastAsia="zh-CN"/>
        </w:rPr>
        <w:t>县</w:t>
      </w:r>
      <w:r>
        <w:rPr>
          <w:rFonts w:hint="eastAsia" w:ascii="仿宋" w:hAnsi="仿宋" w:eastAsia="仿宋"/>
          <w:sz w:val="30"/>
          <w:szCs w:val="30"/>
        </w:rPr>
        <w:t>级下达配套</w:t>
      </w:r>
      <w:r>
        <w:rPr>
          <w:rFonts w:hint="eastAsia" w:ascii="仿宋" w:hAnsi="仿宋" w:eastAsia="仿宋"/>
          <w:sz w:val="30"/>
          <w:szCs w:val="30"/>
          <w:lang w:eastAsia="zh-CN"/>
        </w:rPr>
        <w:t>预算</w:t>
      </w:r>
      <w:r>
        <w:rPr>
          <w:rFonts w:hint="eastAsia" w:ascii="仿宋" w:hAnsi="仿宋" w:eastAsia="仿宋"/>
          <w:sz w:val="30"/>
          <w:szCs w:val="30"/>
        </w:rPr>
        <w:t>资金</w:t>
      </w:r>
      <w:r>
        <w:rPr>
          <w:rFonts w:hint="eastAsia" w:ascii="仿宋" w:hAnsi="仿宋" w:eastAsia="仿宋"/>
          <w:sz w:val="30"/>
          <w:szCs w:val="30"/>
          <w:lang w:val="en-US" w:eastAsia="zh-CN"/>
        </w:rPr>
        <w:t>540</w:t>
      </w:r>
      <w:r>
        <w:rPr>
          <w:rFonts w:hint="eastAsia" w:ascii="仿宋" w:hAnsi="仿宋" w:eastAsia="仿宋"/>
          <w:sz w:val="30"/>
          <w:szCs w:val="30"/>
        </w:rPr>
        <w:t>万元。</w:t>
      </w:r>
    </w:p>
    <w:p w14:paraId="183D952F">
      <w:pPr>
        <w:keepNext w:val="0"/>
        <w:keepLines w:val="0"/>
        <w:pageBreakBefore w:val="0"/>
        <w:kinsoku/>
        <w:wordWrap/>
        <w:overflowPunct/>
        <w:topLinePunct w:val="0"/>
        <w:autoSpaceDN/>
        <w:bidi w:val="0"/>
        <w:adjustRightInd w:val="0"/>
        <w:snapToGrid w:val="0"/>
        <w:spacing w:line="300" w:lineRule="exact"/>
        <w:ind w:firstLine="640"/>
        <w:textAlignment w:val="auto"/>
        <w:rPr>
          <w:rFonts w:hint="eastAsia" w:ascii="仿宋" w:hAnsi="仿宋" w:eastAsia="仿宋"/>
          <w:b/>
          <w:bCs/>
          <w:sz w:val="30"/>
          <w:szCs w:val="30"/>
        </w:rPr>
      </w:pPr>
      <w:r>
        <w:rPr>
          <w:rFonts w:hint="eastAsia" w:ascii="仿宋" w:hAnsi="仿宋" w:eastAsia="仿宋"/>
          <w:b/>
          <w:bCs/>
          <w:sz w:val="30"/>
          <w:szCs w:val="30"/>
        </w:rPr>
        <w:t>绩效目标：</w:t>
      </w:r>
    </w:p>
    <w:p w14:paraId="57F4B735">
      <w:pPr>
        <w:keepNext w:val="0"/>
        <w:keepLines w:val="0"/>
        <w:pageBreakBefore w:val="0"/>
        <w:kinsoku/>
        <w:wordWrap/>
        <w:overflowPunct/>
        <w:topLinePunct w:val="0"/>
        <w:autoSpaceDN/>
        <w:bidi w:val="0"/>
        <w:adjustRightInd w:val="0"/>
        <w:snapToGrid w:val="0"/>
        <w:spacing w:line="300" w:lineRule="exact"/>
        <w:ind w:firstLine="640"/>
        <w:textAlignment w:val="auto"/>
        <w:rPr>
          <w:rFonts w:hint="eastAsia" w:ascii="仿宋" w:hAnsi="仿宋" w:eastAsia="仿宋"/>
          <w:color w:val="000000"/>
          <w:sz w:val="30"/>
          <w:szCs w:val="30"/>
          <w:lang w:eastAsia="zh-CN"/>
        </w:rPr>
      </w:pPr>
      <w:r>
        <w:rPr>
          <w:rFonts w:hint="eastAsia" w:ascii="仿宋" w:hAnsi="仿宋" w:eastAsia="仿宋"/>
          <w:color w:val="000000"/>
          <w:sz w:val="30"/>
          <w:szCs w:val="30"/>
          <w:lang w:eastAsia="zh-CN"/>
        </w:rPr>
        <w:t>目标1：推进档案电子化，全面核对，信息真实</w:t>
      </w:r>
    </w:p>
    <w:p w14:paraId="7671397B">
      <w:pPr>
        <w:keepNext w:val="0"/>
        <w:keepLines w:val="0"/>
        <w:pageBreakBefore w:val="0"/>
        <w:kinsoku/>
        <w:wordWrap/>
        <w:overflowPunct/>
        <w:topLinePunct w:val="0"/>
        <w:autoSpaceDN/>
        <w:bidi w:val="0"/>
        <w:adjustRightInd w:val="0"/>
        <w:snapToGrid w:val="0"/>
        <w:spacing w:line="300" w:lineRule="exact"/>
        <w:ind w:firstLine="640"/>
        <w:textAlignment w:val="auto"/>
        <w:rPr>
          <w:rFonts w:hint="eastAsia" w:ascii="仿宋" w:hAnsi="仿宋" w:eastAsia="仿宋"/>
          <w:color w:val="000000"/>
          <w:sz w:val="30"/>
          <w:szCs w:val="30"/>
          <w:lang w:eastAsia="zh-CN"/>
        </w:rPr>
      </w:pPr>
      <w:r>
        <w:rPr>
          <w:rFonts w:hint="eastAsia" w:ascii="仿宋" w:hAnsi="仿宋" w:eastAsia="仿宋"/>
          <w:color w:val="000000"/>
          <w:sz w:val="30"/>
          <w:szCs w:val="30"/>
          <w:lang w:eastAsia="zh-CN"/>
        </w:rPr>
        <w:t>目标2：开展健康教育各类活动，居民健康素养知识知晓率大于85%，儿童建证率达95%，老年人健康管理率在于90%</w:t>
      </w:r>
    </w:p>
    <w:p w14:paraId="6D19E988">
      <w:pPr>
        <w:keepNext w:val="0"/>
        <w:keepLines w:val="0"/>
        <w:pageBreakBefore w:val="0"/>
        <w:kinsoku/>
        <w:wordWrap/>
        <w:overflowPunct/>
        <w:topLinePunct w:val="0"/>
        <w:autoSpaceDN/>
        <w:bidi w:val="0"/>
        <w:adjustRightInd w:val="0"/>
        <w:snapToGrid w:val="0"/>
        <w:spacing w:line="300" w:lineRule="exact"/>
        <w:ind w:firstLine="640"/>
        <w:textAlignment w:val="auto"/>
        <w:rPr>
          <w:rFonts w:hint="eastAsia" w:ascii="仿宋" w:hAnsi="仿宋" w:eastAsia="仿宋"/>
          <w:b/>
          <w:bCs/>
          <w:sz w:val="30"/>
          <w:szCs w:val="30"/>
        </w:rPr>
      </w:pPr>
      <w:r>
        <w:rPr>
          <w:rFonts w:hint="eastAsia" w:ascii="仿宋" w:hAnsi="仿宋" w:eastAsia="仿宋"/>
          <w:color w:val="000000"/>
          <w:sz w:val="30"/>
          <w:szCs w:val="30"/>
          <w:lang w:eastAsia="zh-CN"/>
        </w:rPr>
        <w:t>目标3：大力开展健康素养宣传推广，全面推进控烟履约</w:t>
      </w:r>
    </w:p>
    <w:p w14:paraId="61C18696">
      <w:pPr>
        <w:keepNext w:val="0"/>
        <w:keepLines w:val="0"/>
        <w:pageBreakBefore w:val="0"/>
        <w:kinsoku/>
        <w:wordWrap/>
        <w:overflowPunct/>
        <w:topLinePunct w:val="0"/>
        <w:autoSpaceDN/>
        <w:bidi w:val="0"/>
        <w:adjustRightInd w:val="0"/>
        <w:snapToGrid w:val="0"/>
        <w:spacing w:line="300" w:lineRule="exact"/>
        <w:ind w:firstLine="640"/>
        <w:textAlignment w:val="auto"/>
        <w:rPr>
          <w:rFonts w:hint="eastAsia" w:ascii="黑体" w:hAnsi="黑体" w:eastAsia="黑体"/>
          <w:sz w:val="30"/>
          <w:szCs w:val="30"/>
          <w:lang w:eastAsia="zh-CN"/>
        </w:rPr>
      </w:pPr>
      <w:r>
        <w:rPr>
          <w:rFonts w:hint="eastAsia" w:ascii="黑体" w:hAnsi="黑体" w:eastAsia="黑体"/>
          <w:sz w:val="30"/>
          <w:szCs w:val="30"/>
          <w:lang w:eastAsia="zh-CN"/>
        </w:rPr>
        <w:t>二</w:t>
      </w:r>
      <w:r>
        <w:rPr>
          <w:rFonts w:hint="eastAsia" w:ascii="黑体" w:hAnsi="黑体" w:eastAsia="黑体"/>
          <w:sz w:val="30"/>
          <w:szCs w:val="30"/>
        </w:rPr>
        <w:t>、</w:t>
      </w:r>
      <w:r>
        <w:rPr>
          <w:rFonts w:hint="eastAsia" w:ascii="黑体" w:hAnsi="黑体" w:eastAsia="黑体"/>
          <w:sz w:val="30"/>
          <w:szCs w:val="30"/>
          <w:lang w:eastAsia="zh-CN"/>
        </w:rPr>
        <w:t>绩效目标完成情况分析</w:t>
      </w:r>
    </w:p>
    <w:p w14:paraId="3F06F566">
      <w:pPr>
        <w:keepNext w:val="0"/>
        <w:keepLines w:val="0"/>
        <w:pageBreakBefore w:val="0"/>
        <w:kinsoku/>
        <w:wordWrap/>
        <w:overflowPunct/>
        <w:topLinePunct w:val="0"/>
        <w:autoSpaceDN/>
        <w:bidi w:val="0"/>
        <w:adjustRightInd w:val="0"/>
        <w:snapToGrid w:val="0"/>
        <w:spacing w:line="300" w:lineRule="exact"/>
        <w:textAlignment w:val="auto"/>
        <w:outlineLvl w:val="0"/>
        <w:rPr>
          <w:rFonts w:hint="eastAsia" w:ascii="楷体_GB2312" w:hAnsi="楷体_GB2312"/>
          <w:b/>
          <w:bCs/>
          <w:sz w:val="28"/>
          <w:szCs w:val="28"/>
        </w:rPr>
      </w:pPr>
      <w:r>
        <w:rPr>
          <w:rFonts w:hint="eastAsia" w:ascii="黑体" w:hAnsi="黑体" w:eastAsia="黑体"/>
          <w:sz w:val="30"/>
          <w:szCs w:val="30"/>
        </w:rPr>
        <w:t xml:space="preserve">    </w:t>
      </w:r>
      <w:r>
        <w:rPr>
          <w:rFonts w:ascii="楷体_GB2312" w:hAnsi="楷体_GB2312"/>
          <w:b/>
          <w:bCs/>
          <w:sz w:val="28"/>
          <w:szCs w:val="28"/>
        </w:rPr>
        <w:t>（一）资金</w:t>
      </w:r>
      <w:r>
        <w:rPr>
          <w:rFonts w:hint="eastAsia" w:ascii="楷体_GB2312" w:hAnsi="楷体_GB2312"/>
          <w:b/>
          <w:bCs/>
          <w:sz w:val="28"/>
          <w:szCs w:val="28"/>
          <w:lang w:eastAsia="zh-CN"/>
        </w:rPr>
        <w:t>投入</w:t>
      </w:r>
      <w:r>
        <w:rPr>
          <w:rFonts w:ascii="楷体_GB2312" w:hAnsi="楷体_GB2312"/>
          <w:b/>
          <w:bCs/>
          <w:sz w:val="28"/>
          <w:szCs w:val="28"/>
        </w:rPr>
        <w:t>情况分析</w:t>
      </w:r>
    </w:p>
    <w:p w14:paraId="2767579A">
      <w:pPr>
        <w:keepNext w:val="0"/>
        <w:keepLines w:val="0"/>
        <w:pageBreakBefore w:val="0"/>
        <w:kinsoku/>
        <w:wordWrap/>
        <w:overflowPunct/>
        <w:topLinePunct w:val="0"/>
        <w:autoSpaceDN/>
        <w:bidi w:val="0"/>
        <w:adjustRightInd w:val="0"/>
        <w:snapToGrid w:val="0"/>
        <w:spacing w:line="300" w:lineRule="exact"/>
        <w:ind w:firstLine="640"/>
        <w:textAlignment w:val="auto"/>
        <w:rPr>
          <w:rFonts w:hint="eastAsia" w:ascii="仿宋" w:hAnsi="仿宋" w:eastAsia="仿宋" w:cs="仿宋"/>
          <w:b/>
          <w:bCs/>
          <w:sz w:val="30"/>
          <w:szCs w:val="30"/>
        </w:rPr>
      </w:pPr>
      <w:r>
        <w:rPr>
          <w:rFonts w:hint="eastAsia" w:ascii="仿宋" w:hAnsi="仿宋" w:eastAsia="仿宋" w:cs="仿宋"/>
          <w:b/>
          <w:bCs/>
          <w:sz w:val="30"/>
          <w:szCs w:val="30"/>
        </w:rPr>
        <w:t>1、项目资金到位、执行、管理情况分析。</w:t>
      </w:r>
    </w:p>
    <w:p w14:paraId="3A26C8BB">
      <w:pPr>
        <w:keepNext w:val="0"/>
        <w:keepLines w:val="0"/>
        <w:pageBreakBefore w:val="0"/>
        <w:kinsoku/>
        <w:wordWrap/>
        <w:overflowPunct/>
        <w:topLinePunct w:val="0"/>
        <w:autoSpaceDN/>
        <w:bidi w:val="0"/>
        <w:adjustRightInd w:val="0"/>
        <w:snapToGrid w:val="0"/>
        <w:spacing w:line="300" w:lineRule="exact"/>
        <w:ind w:firstLine="600" w:firstLineChars="200"/>
        <w:textAlignment w:val="auto"/>
        <w:rPr>
          <w:rFonts w:ascii="宋体" w:hAnsi="宋体"/>
          <w:b/>
          <w:bCs/>
          <w:sz w:val="30"/>
          <w:szCs w:val="30"/>
        </w:rPr>
      </w:pPr>
      <w:r>
        <w:rPr>
          <w:rFonts w:hint="eastAsia" w:ascii="仿宋" w:hAnsi="仿宋" w:eastAsia="仿宋" w:cs="仿宋"/>
          <w:sz w:val="30"/>
          <w:szCs w:val="30"/>
        </w:rPr>
        <w:t>我县按照</w:t>
      </w:r>
      <w:r>
        <w:rPr>
          <w:rFonts w:hint="eastAsia" w:ascii="仿宋" w:hAnsi="仿宋" w:eastAsia="仿宋" w:cs="仿宋"/>
          <w:sz w:val="30"/>
          <w:szCs w:val="30"/>
          <w:lang w:eastAsia="zh-CN"/>
        </w:rPr>
        <w:t>基本公共卫生项目</w:t>
      </w:r>
      <w:r>
        <w:rPr>
          <w:rFonts w:hint="eastAsia" w:ascii="仿宋" w:hAnsi="仿宋" w:eastAsia="仿宋" w:cs="仿宋"/>
          <w:sz w:val="30"/>
          <w:szCs w:val="30"/>
        </w:rPr>
        <w:t>财政补助资金分配办法，依据各</w:t>
      </w:r>
      <w:r>
        <w:rPr>
          <w:rFonts w:hint="eastAsia" w:ascii="仿宋" w:hAnsi="仿宋" w:eastAsia="仿宋" w:cs="仿宋"/>
          <w:sz w:val="30"/>
          <w:szCs w:val="30"/>
          <w:lang w:eastAsia="zh-CN"/>
        </w:rPr>
        <w:t>乡镇卫生院</w:t>
      </w:r>
      <w:r>
        <w:rPr>
          <w:rFonts w:hint="eastAsia" w:ascii="仿宋" w:hAnsi="仿宋" w:eastAsia="仿宋" w:cs="仿宋"/>
          <w:sz w:val="30"/>
          <w:szCs w:val="30"/>
        </w:rPr>
        <w:t>目标任务完成情况，通过对各</w:t>
      </w:r>
      <w:r>
        <w:rPr>
          <w:rFonts w:hint="eastAsia" w:ascii="仿宋" w:hAnsi="仿宋" w:eastAsia="仿宋" w:cs="仿宋"/>
          <w:sz w:val="30"/>
          <w:szCs w:val="30"/>
          <w:lang w:eastAsia="zh-CN"/>
        </w:rPr>
        <w:t>乡镇卫生院</w:t>
      </w:r>
      <w:r>
        <w:rPr>
          <w:rFonts w:hint="eastAsia" w:ascii="仿宋" w:hAnsi="仿宋" w:eastAsia="仿宋" w:cs="仿宋"/>
          <w:sz w:val="30"/>
          <w:szCs w:val="30"/>
        </w:rPr>
        <w:t>考核拨付。做到了专款专用，足额拨付。</w:t>
      </w:r>
    </w:p>
    <w:p w14:paraId="68DB29A3">
      <w:pPr>
        <w:keepNext w:val="0"/>
        <w:keepLines w:val="0"/>
        <w:pageBreakBefore w:val="0"/>
        <w:numPr>
          <w:ilvl w:val="0"/>
          <w:numId w:val="1"/>
        </w:numPr>
        <w:kinsoku/>
        <w:wordWrap/>
        <w:overflowPunct/>
        <w:topLinePunct w:val="0"/>
        <w:autoSpaceDN/>
        <w:bidi w:val="0"/>
        <w:adjustRightInd w:val="0"/>
        <w:snapToGrid w:val="0"/>
        <w:spacing w:line="300" w:lineRule="exact"/>
        <w:ind w:left="571" w:leftChars="0" w:firstLine="0" w:firstLineChars="0"/>
        <w:textAlignment w:val="auto"/>
        <w:outlineLvl w:val="0"/>
        <w:rPr>
          <w:rFonts w:hint="eastAsia" w:ascii="宋体" w:hAnsi="宋体" w:eastAsia="宋体" w:cs="宋体"/>
          <w:b/>
          <w:bCs/>
          <w:sz w:val="28"/>
          <w:szCs w:val="28"/>
        </w:rPr>
      </w:pPr>
      <w:r>
        <w:rPr>
          <w:rFonts w:hint="eastAsia" w:ascii="宋体" w:hAnsi="宋体" w:eastAsia="宋体" w:cs="宋体"/>
          <w:b/>
          <w:bCs/>
          <w:sz w:val="28"/>
          <w:szCs w:val="28"/>
        </w:rPr>
        <w:t>项目绩效指标完成情况分析</w:t>
      </w:r>
    </w:p>
    <w:p w14:paraId="2C4F934E">
      <w:pPr>
        <w:keepNext w:val="0"/>
        <w:keepLines w:val="0"/>
        <w:pageBreakBefore w:val="0"/>
        <w:numPr>
          <w:ilvl w:val="0"/>
          <w:numId w:val="0"/>
        </w:numPr>
        <w:kinsoku/>
        <w:wordWrap/>
        <w:overflowPunct/>
        <w:topLinePunct w:val="0"/>
        <w:autoSpaceDN/>
        <w:bidi w:val="0"/>
        <w:adjustRightInd w:val="0"/>
        <w:snapToGrid w:val="0"/>
        <w:spacing w:line="300" w:lineRule="exact"/>
        <w:ind w:firstLine="600" w:firstLineChars="200"/>
        <w:textAlignment w:val="auto"/>
        <w:rPr>
          <w:rFonts w:hint="eastAsia" w:ascii="仿宋" w:hAnsi="仿宋" w:eastAsia="仿宋"/>
          <w:color w:val="000000"/>
          <w:sz w:val="30"/>
          <w:szCs w:val="30"/>
          <w:lang w:val="en-US" w:eastAsia="zh-CN"/>
        </w:rPr>
      </w:pPr>
      <w:r>
        <w:rPr>
          <w:rFonts w:hint="eastAsia" w:ascii="仿宋" w:hAnsi="仿宋" w:eastAsia="仿宋"/>
          <w:color w:val="000000"/>
          <w:sz w:val="30"/>
          <w:szCs w:val="30"/>
          <w:lang w:val="en-US" w:eastAsia="zh-CN"/>
        </w:rPr>
        <w:t>实施国家基本公共卫生服务项目，是促进基本公共卫生服务逐步均等化的重要内容，是深化医药卫生体制改革近期重点服务工作。为城乡居民免费提供基本公共卫生服务，是我国政府坚持以人为本，落实预防为主卫生工作方针的具体体现，也是我国公共卫生领域的一项长期的基础性的制度安排。</w:t>
      </w:r>
    </w:p>
    <w:p w14:paraId="7FF8B448">
      <w:pPr>
        <w:keepNext w:val="0"/>
        <w:keepLines w:val="0"/>
        <w:pageBreakBefore w:val="0"/>
        <w:numPr>
          <w:ilvl w:val="0"/>
          <w:numId w:val="0"/>
        </w:numPr>
        <w:kinsoku/>
        <w:wordWrap/>
        <w:overflowPunct/>
        <w:topLinePunct w:val="0"/>
        <w:autoSpaceDN/>
        <w:bidi w:val="0"/>
        <w:adjustRightInd w:val="0"/>
        <w:snapToGrid w:val="0"/>
        <w:spacing w:line="300" w:lineRule="exact"/>
        <w:ind w:firstLine="600" w:firstLineChars="200"/>
        <w:textAlignment w:val="auto"/>
        <w:rPr>
          <w:rFonts w:hint="eastAsia" w:ascii="仿宋" w:hAnsi="仿宋" w:eastAsia="仿宋"/>
          <w:color w:val="000000"/>
          <w:sz w:val="30"/>
          <w:szCs w:val="30"/>
          <w:lang w:val="en-US" w:eastAsia="zh-CN"/>
        </w:rPr>
      </w:pPr>
      <w:r>
        <w:rPr>
          <w:rFonts w:hint="eastAsia" w:ascii="仿宋" w:hAnsi="仿宋" w:eastAsia="仿宋"/>
          <w:color w:val="000000"/>
          <w:sz w:val="30"/>
          <w:szCs w:val="30"/>
          <w:lang w:val="en-US" w:eastAsia="zh-CN"/>
        </w:rPr>
        <w:t>国家基本公共卫生服务项目自2009年7月启动以来，嘉鱼县卫计局成立公共卫生服务中心，各乡镇卫生院相应成立了“公共卫生服务中心”，项目补助经费由中央、省、县三级财政部门纳入基本财政预算。</w:t>
      </w:r>
    </w:p>
    <w:p w14:paraId="57391A4A">
      <w:pPr>
        <w:keepNext w:val="0"/>
        <w:keepLines w:val="0"/>
        <w:pageBreakBefore w:val="0"/>
        <w:widowControl w:val="0"/>
        <w:kinsoku/>
        <w:wordWrap/>
        <w:overflowPunct/>
        <w:topLinePunct w:val="0"/>
        <w:autoSpaceDE/>
        <w:autoSpaceDN/>
        <w:bidi w:val="0"/>
        <w:adjustRightInd/>
        <w:snapToGrid/>
        <w:spacing w:line="300" w:lineRule="exact"/>
        <w:ind w:firstLine="560" w:firstLineChars="200"/>
        <w:jc w:val="both"/>
        <w:textAlignment w:val="auto"/>
        <w:rPr>
          <w:rFonts w:hint="eastAsia"/>
          <w:sz w:val="28"/>
          <w:szCs w:val="28"/>
        </w:rPr>
      </w:pPr>
      <w:r>
        <w:rPr>
          <w:rFonts w:hint="eastAsia"/>
          <w:sz w:val="28"/>
          <w:szCs w:val="28"/>
        </w:rPr>
        <w:t>1.预算执行情况分析。</w:t>
      </w:r>
    </w:p>
    <w:p w14:paraId="5C70EBE0">
      <w:pPr>
        <w:keepNext w:val="0"/>
        <w:keepLines w:val="0"/>
        <w:pageBreakBefore w:val="0"/>
        <w:widowControl w:val="0"/>
        <w:kinsoku/>
        <w:wordWrap/>
        <w:overflowPunct/>
        <w:topLinePunct w:val="0"/>
        <w:autoSpaceDE/>
        <w:autoSpaceDN/>
        <w:bidi w:val="0"/>
        <w:adjustRightInd/>
        <w:snapToGrid/>
        <w:spacing w:line="300" w:lineRule="exact"/>
        <w:ind w:firstLine="560" w:firstLineChars="200"/>
        <w:jc w:val="both"/>
        <w:textAlignment w:val="auto"/>
        <w:rPr>
          <w:rFonts w:hint="eastAsia"/>
          <w:sz w:val="28"/>
          <w:szCs w:val="28"/>
          <w:highlight w:val="none"/>
        </w:rPr>
      </w:pPr>
      <w:r>
        <w:rPr>
          <w:rFonts w:hint="eastAsia"/>
          <w:sz w:val="28"/>
          <w:szCs w:val="28"/>
          <w:highlight w:val="none"/>
          <w:lang w:eastAsia="zh-CN"/>
        </w:rPr>
        <w:t>202</w:t>
      </w:r>
      <w:r>
        <w:rPr>
          <w:rFonts w:hint="eastAsia"/>
          <w:sz w:val="28"/>
          <w:szCs w:val="28"/>
          <w:highlight w:val="none"/>
          <w:lang w:val="en-US" w:eastAsia="zh-CN"/>
        </w:rPr>
        <w:t>4</w:t>
      </w:r>
      <w:r>
        <w:rPr>
          <w:rFonts w:hint="eastAsia"/>
          <w:sz w:val="28"/>
          <w:szCs w:val="28"/>
          <w:highlight w:val="none"/>
        </w:rPr>
        <w:t>年度</w:t>
      </w:r>
      <w:r>
        <w:rPr>
          <w:rFonts w:hint="eastAsia"/>
          <w:sz w:val="28"/>
          <w:szCs w:val="28"/>
          <w:highlight w:val="none"/>
          <w:lang w:eastAsia="zh-CN"/>
        </w:rPr>
        <w:t>基本公共卫生服务</w:t>
      </w:r>
      <w:r>
        <w:rPr>
          <w:rFonts w:hint="eastAsia"/>
          <w:sz w:val="28"/>
          <w:szCs w:val="28"/>
          <w:highlight w:val="none"/>
        </w:rPr>
        <w:t>项目预算资金</w:t>
      </w:r>
      <w:r>
        <w:rPr>
          <w:rFonts w:hint="eastAsia"/>
          <w:sz w:val="28"/>
          <w:szCs w:val="28"/>
          <w:highlight w:val="none"/>
          <w:lang w:val="en-US" w:eastAsia="zh-CN"/>
        </w:rPr>
        <w:t>2697万</w:t>
      </w:r>
      <w:r>
        <w:rPr>
          <w:rFonts w:hint="eastAsia"/>
          <w:sz w:val="28"/>
          <w:szCs w:val="28"/>
          <w:highlight w:val="none"/>
        </w:rPr>
        <w:t>元，实际收到配套资金</w:t>
      </w:r>
      <w:r>
        <w:rPr>
          <w:rFonts w:hint="eastAsia"/>
          <w:sz w:val="28"/>
          <w:szCs w:val="28"/>
          <w:highlight w:val="none"/>
          <w:lang w:val="en-US" w:eastAsia="zh-CN"/>
        </w:rPr>
        <w:t>2697万元</w:t>
      </w:r>
      <w:r>
        <w:rPr>
          <w:rFonts w:hint="eastAsia"/>
          <w:sz w:val="28"/>
          <w:szCs w:val="28"/>
          <w:highlight w:val="none"/>
        </w:rPr>
        <w:t>，预算资金已及时拨付到位，到位率100%。</w:t>
      </w:r>
    </w:p>
    <w:p w14:paraId="362E9D22">
      <w:pPr>
        <w:keepNext w:val="0"/>
        <w:keepLines w:val="0"/>
        <w:pageBreakBefore w:val="0"/>
        <w:widowControl w:val="0"/>
        <w:kinsoku/>
        <w:wordWrap/>
        <w:overflowPunct/>
        <w:topLinePunct w:val="0"/>
        <w:autoSpaceDE/>
        <w:autoSpaceDN/>
        <w:bidi w:val="0"/>
        <w:adjustRightInd/>
        <w:snapToGrid/>
        <w:spacing w:line="300" w:lineRule="exact"/>
        <w:ind w:firstLine="560" w:firstLineChars="200"/>
        <w:jc w:val="both"/>
        <w:textAlignment w:val="auto"/>
        <w:rPr>
          <w:rFonts w:hint="eastAsia"/>
          <w:sz w:val="28"/>
          <w:szCs w:val="28"/>
          <w:highlight w:val="none"/>
        </w:rPr>
      </w:pPr>
      <w:r>
        <w:rPr>
          <w:rFonts w:hint="eastAsia"/>
          <w:sz w:val="28"/>
          <w:szCs w:val="28"/>
          <w:highlight w:val="none"/>
          <w:lang w:eastAsia="zh-CN"/>
        </w:rPr>
        <w:t>202</w:t>
      </w:r>
      <w:r>
        <w:rPr>
          <w:rFonts w:hint="eastAsia"/>
          <w:sz w:val="28"/>
          <w:szCs w:val="28"/>
          <w:highlight w:val="none"/>
          <w:lang w:val="en-US" w:eastAsia="zh-CN"/>
        </w:rPr>
        <w:t>4</w:t>
      </w:r>
      <w:r>
        <w:rPr>
          <w:rFonts w:hint="eastAsia"/>
          <w:sz w:val="28"/>
          <w:szCs w:val="28"/>
          <w:highlight w:val="none"/>
        </w:rPr>
        <w:t>年累计拨付资金</w:t>
      </w:r>
      <w:r>
        <w:rPr>
          <w:rFonts w:hint="eastAsia"/>
          <w:sz w:val="28"/>
          <w:szCs w:val="28"/>
          <w:highlight w:val="none"/>
          <w:lang w:val="en-US" w:eastAsia="zh-CN"/>
        </w:rPr>
        <w:t>2697万元</w:t>
      </w:r>
      <w:r>
        <w:rPr>
          <w:rFonts w:hint="eastAsia"/>
          <w:sz w:val="28"/>
          <w:szCs w:val="28"/>
          <w:highlight w:val="none"/>
        </w:rPr>
        <w:t>元，预算执行率</w:t>
      </w:r>
      <w:r>
        <w:rPr>
          <w:rFonts w:hint="eastAsia"/>
          <w:sz w:val="28"/>
          <w:szCs w:val="28"/>
          <w:highlight w:val="none"/>
          <w:lang w:val="en-US" w:eastAsia="zh-CN"/>
        </w:rPr>
        <w:t>100</w:t>
      </w:r>
      <w:r>
        <w:rPr>
          <w:rFonts w:hint="eastAsia"/>
          <w:sz w:val="28"/>
          <w:szCs w:val="28"/>
          <w:highlight w:val="none"/>
        </w:rPr>
        <w:t>%。</w:t>
      </w:r>
    </w:p>
    <w:p w14:paraId="70171FB4">
      <w:pPr>
        <w:keepNext w:val="0"/>
        <w:keepLines w:val="0"/>
        <w:pageBreakBefore w:val="0"/>
        <w:widowControl w:val="0"/>
        <w:kinsoku/>
        <w:wordWrap/>
        <w:overflowPunct/>
        <w:topLinePunct w:val="0"/>
        <w:autoSpaceDE/>
        <w:autoSpaceDN/>
        <w:bidi w:val="0"/>
        <w:adjustRightInd/>
        <w:snapToGrid/>
        <w:spacing w:line="300" w:lineRule="exact"/>
        <w:ind w:firstLine="560" w:firstLineChars="200"/>
        <w:jc w:val="both"/>
        <w:textAlignment w:val="auto"/>
        <w:rPr>
          <w:rFonts w:hint="eastAsia"/>
          <w:sz w:val="28"/>
          <w:szCs w:val="28"/>
          <w:highlight w:val="none"/>
        </w:rPr>
      </w:pPr>
      <w:r>
        <w:rPr>
          <w:rFonts w:hint="eastAsia"/>
          <w:sz w:val="28"/>
          <w:szCs w:val="28"/>
          <w:highlight w:val="none"/>
        </w:rPr>
        <w:t>资金使用基本按照预算执行，符合国家财经法规和财务管理制度以及有关专项资金管理办法的规定。我局按照财务管理制度，严格执行专项资金管理，对项目资金使用按制度审批、按程序报销，严把审核关，同时，不断加强对项目经费管理使用的检查力度，应用于对口项目的支出，确保了专项工作的有序开展。我局项目预算资金支出合规，使用合理，相关台账资料齐全并及时归档，项目实施的人员条件、场地设备、信息支撑等落实到位。无虚列支出，无截留、挤占、挪用情况。</w:t>
      </w:r>
    </w:p>
    <w:p w14:paraId="3196BB9B">
      <w:pPr>
        <w:keepNext w:val="0"/>
        <w:keepLines w:val="0"/>
        <w:pageBreakBefore w:val="0"/>
        <w:widowControl w:val="0"/>
        <w:kinsoku/>
        <w:wordWrap/>
        <w:overflowPunct/>
        <w:topLinePunct w:val="0"/>
        <w:autoSpaceDE/>
        <w:autoSpaceDN/>
        <w:bidi w:val="0"/>
        <w:adjustRightInd/>
        <w:snapToGrid/>
        <w:spacing w:line="300" w:lineRule="exact"/>
        <w:ind w:firstLine="560" w:firstLineChars="200"/>
        <w:jc w:val="both"/>
        <w:textAlignment w:val="auto"/>
        <w:rPr>
          <w:sz w:val="28"/>
          <w:szCs w:val="28"/>
        </w:rPr>
      </w:pPr>
      <w:r>
        <w:rPr>
          <w:rFonts w:hint="eastAsia"/>
          <w:sz w:val="28"/>
          <w:szCs w:val="28"/>
        </w:rPr>
        <w:t>2.绩效目标完成情况分析。</w:t>
      </w:r>
    </w:p>
    <w:p w14:paraId="047090CE">
      <w:pPr>
        <w:keepNext w:val="0"/>
        <w:keepLines w:val="0"/>
        <w:pageBreakBefore w:val="0"/>
        <w:widowControl w:val="0"/>
        <w:kinsoku/>
        <w:wordWrap/>
        <w:overflowPunct/>
        <w:topLinePunct w:val="0"/>
        <w:autoSpaceDE/>
        <w:autoSpaceDN/>
        <w:bidi w:val="0"/>
        <w:adjustRightInd/>
        <w:snapToGrid/>
        <w:spacing w:line="300" w:lineRule="exact"/>
        <w:ind w:firstLine="560" w:firstLineChars="200"/>
        <w:jc w:val="both"/>
        <w:textAlignment w:val="auto"/>
        <w:rPr>
          <w:rFonts w:hint="eastAsia"/>
          <w:sz w:val="28"/>
          <w:szCs w:val="28"/>
          <w:highlight w:val="none"/>
        </w:rPr>
      </w:pPr>
      <w:r>
        <w:rPr>
          <w:rFonts w:hint="eastAsia"/>
          <w:sz w:val="28"/>
          <w:szCs w:val="28"/>
          <w:highlight w:val="none"/>
        </w:rPr>
        <w:t>（1）产出指标完成情况分析。</w:t>
      </w:r>
    </w:p>
    <w:p w14:paraId="305CF108">
      <w:pPr>
        <w:keepNext w:val="0"/>
        <w:keepLines w:val="0"/>
        <w:pageBreakBefore w:val="0"/>
        <w:widowControl w:val="0"/>
        <w:kinsoku/>
        <w:wordWrap/>
        <w:overflowPunct/>
        <w:topLinePunct w:val="0"/>
        <w:autoSpaceDE/>
        <w:autoSpaceDN/>
        <w:bidi w:val="0"/>
        <w:adjustRightInd/>
        <w:snapToGrid/>
        <w:spacing w:line="300" w:lineRule="exact"/>
        <w:ind w:firstLine="560" w:firstLineChars="200"/>
        <w:jc w:val="both"/>
        <w:textAlignment w:val="auto"/>
        <w:rPr>
          <w:rFonts w:hint="eastAsia"/>
          <w:sz w:val="28"/>
          <w:szCs w:val="28"/>
          <w:highlight w:val="none"/>
        </w:rPr>
      </w:pPr>
      <w:r>
        <w:rPr>
          <w:rFonts w:hint="eastAsia" w:ascii="宋体" w:hAnsi="宋体" w:eastAsia="宋体" w:cs="宋体"/>
          <w:sz w:val="28"/>
          <w:szCs w:val="28"/>
          <w:highlight w:val="none"/>
        </w:rPr>
        <w:t>①</w:t>
      </w:r>
      <w:r>
        <w:rPr>
          <w:rFonts w:hint="eastAsia" w:eastAsia="宋体"/>
          <w:sz w:val="28"/>
          <w:szCs w:val="28"/>
          <w:highlight w:val="none"/>
          <w:lang w:val="en-US" w:eastAsia="zh-CN"/>
        </w:rPr>
        <w:t xml:space="preserve"> </w:t>
      </w:r>
      <w:r>
        <w:rPr>
          <w:rFonts w:hint="eastAsia"/>
          <w:sz w:val="28"/>
          <w:szCs w:val="28"/>
          <w:highlight w:val="none"/>
        </w:rPr>
        <w:t>数量指标</w:t>
      </w:r>
    </w:p>
    <w:p w14:paraId="04D53BEB">
      <w:pPr>
        <w:keepNext w:val="0"/>
        <w:keepLines w:val="0"/>
        <w:pageBreakBefore w:val="0"/>
        <w:widowControl w:val="0"/>
        <w:kinsoku/>
        <w:wordWrap/>
        <w:overflowPunct/>
        <w:topLinePunct w:val="0"/>
        <w:autoSpaceDE/>
        <w:autoSpaceDN/>
        <w:bidi w:val="0"/>
        <w:adjustRightInd/>
        <w:snapToGrid/>
        <w:spacing w:line="300" w:lineRule="exact"/>
        <w:ind w:firstLine="560" w:firstLineChars="200"/>
        <w:jc w:val="both"/>
        <w:textAlignment w:val="auto"/>
        <w:rPr>
          <w:rFonts w:hint="eastAsia"/>
          <w:sz w:val="28"/>
          <w:szCs w:val="28"/>
          <w:highlight w:val="yellow"/>
          <w:lang w:val="en-US" w:eastAsia="zh-CN"/>
        </w:rPr>
      </w:pPr>
      <w:r>
        <w:rPr>
          <w:rFonts w:hint="eastAsia"/>
          <w:sz w:val="28"/>
          <w:szCs w:val="28"/>
          <w:highlight w:val="none"/>
          <w:lang w:val="en-US" w:eastAsia="zh-CN"/>
        </w:rPr>
        <w:t>2024年</w:t>
      </w:r>
      <w:r>
        <w:rPr>
          <w:rFonts w:hint="eastAsia"/>
          <w:sz w:val="28"/>
          <w:szCs w:val="28"/>
          <w:highlight w:val="none"/>
        </w:rPr>
        <w:t>居民电子健康档案建档率</w:t>
      </w:r>
      <w:r>
        <w:rPr>
          <w:rFonts w:hint="eastAsia"/>
          <w:sz w:val="28"/>
          <w:szCs w:val="28"/>
          <w:highlight w:val="none"/>
          <w:lang w:val="en-US" w:eastAsia="zh-CN"/>
        </w:rPr>
        <w:t>91%，大于80%，完成目标任务；</w:t>
      </w:r>
    </w:p>
    <w:p w14:paraId="1360E2C8">
      <w:pPr>
        <w:keepNext w:val="0"/>
        <w:keepLines w:val="0"/>
        <w:pageBreakBefore w:val="0"/>
        <w:widowControl w:val="0"/>
        <w:kinsoku/>
        <w:wordWrap/>
        <w:overflowPunct/>
        <w:topLinePunct w:val="0"/>
        <w:autoSpaceDE/>
        <w:autoSpaceDN/>
        <w:bidi w:val="0"/>
        <w:adjustRightInd/>
        <w:snapToGrid/>
        <w:spacing w:line="300" w:lineRule="exact"/>
        <w:ind w:firstLine="560" w:firstLineChars="200"/>
        <w:jc w:val="both"/>
        <w:textAlignment w:val="auto"/>
        <w:rPr>
          <w:rFonts w:hint="eastAsia"/>
          <w:sz w:val="28"/>
          <w:szCs w:val="28"/>
          <w:highlight w:val="none"/>
          <w:lang w:val="en-US" w:eastAsia="zh-CN"/>
        </w:rPr>
      </w:pPr>
      <w:r>
        <w:rPr>
          <w:rFonts w:hint="eastAsia"/>
          <w:sz w:val="28"/>
          <w:szCs w:val="28"/>
          <w:highlight w:val="none"/>
          <w:lang w:val="en-US" w:eastAsia="zh-CN"/>
        </w:rPr>
        <w:t>各镇适龄儿童预防接种建证（卡）率均达到了100%，大于90%，完成目标任务；</w:t>
      </w:r>
    </w:p>
    <w:p w14:paraId="25AB3049">
      <w:pPr>
        <w:keepNext w:val="0"/>
        <w:keepLines w:val="0"/>
        <w:pageBreakBefore w:val="0"/>
        <w:widowControl w:val="0"/>
        <w:kinsoku/>
        <w:wordWrap/>
        <w:overflowPunct/>
        <w:topLinePunct w:val="0"/>
        <w:autoSpaceDE/>
        <w:autoSpaceDN/>
        <w:bidi w:val="0"/>
        <w:adjustRightInd/>
        <w:snapToGrid/>
        <w:spacing w:line="300" w:lineRule="exact"/>
        <w:ind w:firstLine="560" w:firstLineChars="200"/>
        <w:jc w:val="both"/>
        <w:textAlignment w:val="auto"/>
        <w:rPr>
          <w:rFonts w:hint="eastAsia"/>
          <w:sz w:val="28"/>
          <w:szCs w:val="28"/>
          <w:highlight w:val="none"/>
          <w:lang w:val="en-US" w:eastAsia="zh-CN"/>
        </w:rPr>
      </w:pPr>
      <w:r>
        <w:rPr>
          <w:rFonts w:hint="eastAsia"/>
          <w:sz w:val="28"/>
          <w:szCs w:val="28"/>
          <w:highlight w:val="none"/>
          <w:lang w:val="en-US" w:eastAsia="zh-CN"/>
        </w:rPr>
        <w:t>全县0-6岁儿童数为28661人，0-6岁儿童健康管理数为25797人，管理率为90.01%，大于85%，完成目标任务；</w:t>
      </w:r>
    </w:p>
    <w:p w14:paraId="007CC883">
      <w:pPr>
        <w:keepNext w:val="0"/>
        <w:keepLines w:val="0"/>
        <w:pageBreakBefore w:val="0"/>
        <w:widowControl w:val="0"/>
        <w:kinsoku/>
        <w:wordWrap/>
        <w:overflowPunct/>
        <w:topLinePunct w:val="0"/>
        <w:autoSpaceDE/>
        <w:autoSpaceDN/>
        <w:bidi w:val="0"/>
        <w:adjustRightInd/>
        <w:snapToGrid/>
        <w:spacing w:line="300" w:lineRule="exact"/>
        <w:ind w:firstLine="560" w:firstLineChars="200"/>
        <w:jc w:val="both"/>
        <w:textAlignment w:val="auto"/>
        <w:rPr>
          <w:rFonts w:hint="eastAsia"/>
          <w:sz w:val="28"/>
          <w:szCs w:val="28"/>
          <w:highlight w:val="none"/>
          <w:lang w:val="en-US" w:eastAsia="zh-CN"/>
        </w:rPr>
      </w:pPr>
      <w:r>
        <w:rPr>
          <w:rFonts w:hint="eastAsia"/>
          <w:sz w:val="28"/>
          <w:szCs w:val="28"/>
          <w:highlight w:val="none"/>
          <w:lang w:val="en-US" w:eastAsia="zh-CN"/>
        </w:rPr>
        <w:t>全县孕产妇3025人，早孕建册2851人，产后28天接受访视产妇人数2846，早孕建册率94.25%，产后访视率93.37%，均大于85%，完成目标任务；</w:t>
      </w:r>
    </w:p>
    <w:p w14:paraId="7B2F596F">
      <w:pPr>
        <w:keepNext w:val="0"/>
        <w:keepLines w:val="0"/>
        <w:pageBreakBefore w:val="0"/>
        <w:widowControl w:val="0"/>
        <w:kinsoku/>
        <w:wordWrap/>
        <w:overflowPunct/>
        <w:topLinePunct w:val="0"/>
        <w:autoSpaceDE/>
        <w:autoSpaceDN/>
        <w:bidi w:val="0"/>
        <w:adjustRightInd/>
        <w:snapToGrid/>
        <w:spacing w:line="300" w:lineRule="exact"/>
        <w:ind w:firstLine="560" w:firstLineChars="200"/>
        <w:jc w:val="both"/>
        <w:textAlignment w:val="auto"/>
        <w:rPr>
          <w:rFonts w:hint="eastAsia"/>
          <w:sz w:val="28"/>
          <w:szCs w:val="28"/>
          <w:highlight w:val="none"/>
          <w:lang w:val="en-US" w:eastAsia="zh-CN"/>
        </w:rPr>
      </w:pPr>
      <w:r>
        <w:rPr>
          <w:rFonts w:hint="eastAsia"/>
          <w:sz w:val="28"/>
          <w:szCs w:val="28"/>
          <w:highlight w:val="none"/>
          <w:lang w:val="en-US" w:eastAsia="zh-CN"/>
        </w:rPr>
        <w:t>老年人应管理33211人，已管理29834人，老年人健康管理率为89.83%，大于69%，完成目标任务；</w:t>
      </w:r>
    </w:p>
    <w:p w14:paraId="68E59650">
      <w:pPr>
        <w:keepNext w:val="0"/>
        <w:keepLines w:val="0"/>
        <w:pageBreakBefore w:val="0"/>
        <w:widowControl w:val="0"/>
        <w:shd w:val="clear"/>
        <w:kinsoku/>
        <w:wordWrap/>
        <w:overflowPunct/>
        <w:topLinePunct w:val="0"/>
        <w:autoSpaceDE/>
        <w:autoSpaceDN/>
        <w:bidi w:val="0"/>
        <w:adjustRightInd/>
        <w:snapToGrid/>
        <w:spacing w:line="300" w:lineRule="exact"/>
        <w:ind w:firstLine="560" w:firstLineChars="200"/>
        <w:jc w:val="both"/>
        <w:textAlignment w:val="auto"/>
        <w:rPr>
          <w:rFonts w:hint="eastAsia"/>
          <w:sz w:val="28"/>
          <w:szCs w:val="28"/>
          <w:highlight w:val="none"/>
          <w:lang w:val="en-US" w:eastAsia="zh-CN"/>
        </w:rPr>
      </w:pPr>
      <w:r>
        <w:rPr>
          <w:rFonts w:hint="eastAsia"/>
          <w:sz w:val="28"/>
          <w:szCs w:val="28"/>
          <w:highlight w:val="none"/>
          <w:lang w:val="en-US" w:eastAsia="zh-CN"/>
        </w:rPr>
        <w:t>全县高血压患者应管数23500人，实际管理28933人，完成目标任务；</w:t>
      </w:r>
    </w:p>
    <w:p w14:paraId="37AC9B21">
      <w:pPr>
        <w:keepNext w:val="0"/>
        <w:keepLines w:val="0"/>
        <w:pageBreakBefore w:val="0"/>
        <w:widowControl w:val="0"/>
        <w:kinsoku/>
        <w:wordWrap/>
        <w:overflowPunct/>
        <w:topLinePunct w:val="0"/>
        <w:autoSpaceDE/>
        <w:autoSpaceDN/>
        <w:bidi w:val="0"/>
        <w:adjustRightInd/>
        <w:snapToGrid/>
        <w:spacing w:line="300" w:lineRule="exact"/>
        <w:ind w:firstLine="560" w:firstLineChars="200"/>
        <w:jc w:val="both"/>
        <w:textAlignment w:val="auto"/>
        <w:rPr>
          <w:rFonts w:hint="eastAsia"/>
          <w:sz w:val="28"/>
          <w:szCs w:val="28"/>
          <w:highlight w:val="none"/>
          <w:lang w:val="en-US" w:eastAsia="zh-CN"/>
        </w:rPr>
      </w:pPr>
      <w:r>
        <w:rPr>
          <w:rFonts w:hint="eastAsia"/>
          <w:sz w:val="28"/>
          <w:szCs w:val="28"/>
          <w:highlight w:val="none"/>
          <w:lang w:val="en-US" w:eastAsia="zh-CN"/>
        </w:rPr>
        <w:t>全县糖尿病患者应管人数6000人，实际管理6635人，完成目标任务；</w:t>
      </w:r>
    </w:p>
    <w:p w14:paraId="0E3E147C">
      <w:pPr>
        <w:keepNext w:val="0"/>
        <w:keepLines w:val="0"/>
        <w:pageBreakBefore w:val="0"/>
        <w:widowControl w:val="0"/>
        <w:kinsoku/>
        <w:wordWrap/>
        <w:overflowPunct/>
        <w:topLinePunct w:val="0"/>
        <w:autoSpaceDE/>
        <w:autoSpaceDN/>
        <w:bidi w:val="0"/>
        <w:adjustRightInd/>
        <w:snapToGrid/>
        <w:spacing w:line="300" w:lineRule="exact"/>
        <w:ind w:firstLine="560" w:firstLineChars="200"/>
        <w:jc w:val="both"/>
        <w:textAlignment w:val="auto"/>
        <w:rPr>
          <w:rFonts w:hint="eastAsia"/>
          <w:sz w:val="28"/>
          <w:szCs w:val="28"/>
          <w:highlight w:val="none"/>
          <w:lang w:val="en-US" w:eastAsia="zh-CN"/>
        </w:rPr>
      </w:pPr>
      <w:r>
        <w:rPr>
          <w:rFonts w:hint="eastAsia"/>
          <w:sz w:val="28"/>
          <w:szCs w:val="28"/>
          <w:highlight w:val="none"/>
          <w:lang w:val="en-US" w:eastAsia="zh-CN"/>
        </w:rPr>
        <w:t>老年人中医药健康管理率65%，大于45%，完成目标任务；</w:t>
      </w:r>
    </w:p>
    <w:p w14:paraId="40FEA730">
      <w:pPr>
        <w:keepNext w:val="0"/>
        <w:keepLines w:val="0"/>
        <w:pageBreakBefore w:val="0"/>
        <w:widowControl w:val="0"/>
        <w:kinsoku/>
        <w:wordWrap/>
        <w:overflowPunct/>
        <w:topLinePunct w:val="0"/>
        <w:autoSpaceDE/>
        <w:autoSpaceDN/>
        <w:bidi w:val="0"/>
        <w:adjustRightInd/>
        <w:snapToGrid/>
        <w:spacing w:line="300" w:lineRule="exact"/>
        <w:ind w:firstLine="560" w:firstLineChars="200"/>
        <w:jc w:val="both"/>
        <w:textAlignment w:val="auto"/>
        <w:rPr>
          <w:rFonts w:hint="eastAsia"/>
          <w:sz w:val="28"/>
          <w:szCs w:val="28"/>
          <w:highlight w:val="none"/>
          <w:lang w:val="en-US" w:eastAsia="zh-CN"/>
        </w:rPr>
      </w:pPr>
      <w:r>
        <w:rPr>
          <w:rFonts w:hint="eastAsia"/>
          <w:sz w:val="28"/>
          <w:szCs w:val="28"/>
          <w:highlight w:val="none"/>
          <w:lang w:val="en-US" w:eastAsia="zh-CN"/>
        </w:rPr>
        <w:t>儿童中医药健康管理率65%，大于45%，完成目标任务；</w:t>
      </w:r>
    </w:p>
    <w:p w14:paraId="26E889FA">
      <w:pPr>
        <w:keepNext w:val="0"/>
        <w:keepLines w:val="0"/>
        <w:pageBreakBefore w:val="0"/>
        <w:widowControl w:val="0"/>
        <w:kinsoku/>
        <w:wordWrap/>
        <w:overflowPunct/>
        <w:topLinePunct w:val="0"/>
        <w:autoSpaceDE/>
        <w:autoSpaceDN/>
        <w:bidi w:val="0"/>
        <w:adjustRightInd/>
        <w:snapToGrid/>
        <w:spacing w:line="300" w:lineRule="exact"/>
        <w:ind w:firstLine="560" w:firstLineChars="200"/>
        <w:jc w:val="both"/>
        <w:textAlignment w:val="auto"/>
        <w:rPr>
          <w:rFonts w:hint="eastAsia"/>
          <w:sz w:val="28"/>
          <w:szCs w:val="28"/>
          <w:highlight w:val="none"/>
          <w:lang w:val="en-US" w:eastAsia="zh-CN"/>
        </w:rPr>
      </w:pPr>
      <w:r>
        <w:rPr>
          <w:rFonts w:hint="eastAsia"/>
          <w:sz w:val="28"/>
          <w:szCs w:val="28"/>
          <w:highlight w:val="none"/>
          <w:lang w:val="en-US" w:eastAsia="zh-CN"/>
        </w:rPr>
        <w:t>重点职业病地市开展率100%，大于92%，完成目标任务；</w:t>
      </w:r>
    </w:p>
    <w:p w14:paraId="6669BFEC">
      <w:pPr>
        <w:keepNext w:val="0"/>
        <w:keepLines w:val="0"/>
        <w:pageBreakBefore w:val="0"/>
        <w:widowControl w:val="0"/>
        <w:kinsoku/>
        <w:wordWrap/>
        <w:overflowPunct/>
        <w:topLinePunct w:val="0"/>
        <w:autoSpaceDE/>
        <w:autoSpaceDN/>
        <w:bidi w:val="0"/>
        <w:adjustRightInd/>
        <w:snapToGrid/>
        <w:spacing w:line="300" w:lineRule="exact"/>
        <w:ind w:firstLine="560" w:firstLineChars="200"/>
        <w:jc w:val="both"/>
        <w:textAlignment w:val="auto"/>
        <w:rPr>
          <w:rFonts w:hint="eastAsia"/>
          <w:sz w:val="28"/>
          <w:szCs w:val="28"/>
          <w:highlight w:val="none"/>
          <w:lang w:val="en-US" w:eastAsia="zh-CN"/>
        </w:rPr>
      </w:pPr>
      <w:r>
        <w:rPr>
          <w:rFonts w:hint="eastAsia"/>
          <w:sz w:val="28"/>
          <w:szCs w:val="28"/>
          <w:highlight w:val="none"/>
          <w:lang w:val="en-US" w:eastAsia="zh-CN"/>
        </w:rPr>
        <w:t>麻风病按规定随访到位率100%，大于90%，完成目标任务。</w:t>
      </w:r>
    </w:p>
    <w:p w14:paraId="21F18343">
      <w:pPr>
        <w:keepNext w:val="0"/>
        <w:keepLines w:val="0"/>
        <w:pageBreakBefore w:val="0"/>
        <w:widowControl w:val="0"/>
        <w:kinsoku/>
        <w:wordWrap/>
        <w:overflowPunct/>
        <w:topLinePunct w:val="0"/>
        <w:autoSpaceDE/>
        <w:autoSpaceDN/>
        <w:bidi w:val="0"/>
        <w:adjustRightInd/>
        <w:snapToGrid/>
        <w:spacing w:line="300" w:lineRule="exact"/>
        <w:ind w:firstLine="560" w:firstLineChars="200"/>
        <w:jc w:val="both"/>
        <w:textAlignment w:val="auto"/>
        <w:rPr>
          <w:rFonts w:hint="eastAsia"/>
          <w:sz w:val="28"/>
          <w:szCs w:val="28"/>
          <w:highlight w:val="none"/>
        </w:rPr>
      </w:pPr>
      <w:r>
        <w:rPr>
          <w:rFonts w:hint="eastAsia" w:ascii="宋体" w:hAnsi="宋体" w:eastAsia="宋体" w:cs="宋体"/>
          <w:sz w:val="28"/>
          <w:szCs w:val="28"/>
          <w:highlight w:val="none"/>
        </w:rPr>
        <w:t>②</w:t>
      </w:r>
      <w:r>
        <w:rPr>
          <w:rFonts w:hint="eastAsia" w:eastAsia="宋体"/>
          <w:sz w:val="28"/>
          <w:szCs w:val="28"/>
          <w:highlight w:val="none"/>
          <w:lang w:val="en-US" w:eastAsia="zh-CN"/>
        </w:rPr>
        <w:t xml:space="preserve"> </w:t>
      </w:r>
      <w:r>
        <w:rPr>
          <w:rFonts w:hint="eastAsia"/>
          <w:sz w:val="28"/>
          <w:szCs w:val="28"/>
          <w:highlight w:val="none"/>
        </w:rPr>
        <w:t>质量指标</w:t>
      </w:r>
    </w:p>
    <w:p w14:paraId="7AA901AD">
      <w:pPr>
        <w:keepNext w:val="0"/>
        <w:keepLines w:val="0"/>
        <w:pageBreakBefore w:val="0"/>
        <w:widowControl w:val="0"/>
        <w:shd w:val="clear"/>
        <w:kinsoku/>
        <w:wordWrap/>
        <w:overflowPunct/>
        <w:topLinePunct w:val="0"/>
        <w:autoSpaceDE/>
        <w:autoSpaceDN/>
        <w:bidi w:val="0"/>
        <w:adjustRightInd/>
        <w:snapToGrid/>
        <w:spacing w:line="300" w:lineRule="exact"/>
        <w:ind w:firstLine="560" w:firstLineChars="200"/>
        <w:jc w:val="both"/>
        <w:textAlignment w:val="auto"/>
        <w:rPr>
          <w:rFonts w:hint="eastAsia"/>
          <w:sz w:val="28"/>
          <w:szCs w:val="28"/>
          <w:highlight w:val="none"/>
          <w:lang w:val="en-US" w:eastAsia="zh-CN"/>
        </w:rPr>
      </w:pPr>
      <w:r>
        <w:rPr>
          <w:rFonts w:hint="eastAsia"/>
          <w:sz w:val="28"/>
          <w:szCs w:val="28"/>
          <w:highlight w:val="none"/>
          <w:lang w:val="en-US" w:eastAsia="zh-CN"/>
        </w:rPr>
        <w:t>全县高血压患者实际管理28933人，规范管理25309人，规范管理率87.47%，大于60%，完成目标任务；</w:t>
      </w:r>
    </w:p>
    <w:p w14:paraId="3B35CBA6">
      <w:pPr>
        <w:keepNext w:val="0"/>
        <w:keepLines w:val="0"/>
        <w:pageBreakBefore w:val="0"/>
        <w:widowControl w:val="0"/>
        <w:shd w:val="clear"/>
        <w:kinsoku/>
        <w:wordWrap/>
        <w:overflowPunct/>
        <w:topLinePunct w:val="0"/>
        <w:autoSpaceDE/>
        <w:autoSpaceDN/>
        <w:bidi w:val="0"/>
        <w:adjustRightInd/>
        <w:snapToGrid/>
        <w:spacing w:line="300" w:lineRule="exact"/>
        <w:ind w:firstLine="560" w:firstLineChars="200"/>
        <w:jc w:val="both"/>
        <w:textAlignment w:val="auto"/>
        <w:rPr>
          <w:rFonts w:hint="eastAsia"/>
          <w:sz w:val="28"/>
          <w:szCs w:val="28"/>
          <w:highlight w:val="none"/>
          <w:lang w:val="en-US" w:eastAsia="zh-CN"/>
        </w:rPr>
      </w:pPr>
      <w:r>
        <w:rPr>
          <w:rFonts w:hint="eastAsia"/>
          <w:sz w:val="28"/>
          <w:szCs w:val="28"/>
          <w:highlight w:val="none"/>
          <w:lang w:val="en-US" w:eastAsia="zh-CN"/>
        </w:rPr>
        <w:t>全县糖尿病患者实际管理6635人，规范管理5769人，规范管理率86.95%，大于60%，完成目标任务；</w:t>
      </w:r>
    </w:p>
    <w:p w14:paraId="01BB9A5F">
      <w:pPr>
        <w:keepNext w:val="0"/>
        <w:keepLines w:val="0"/>
        <w:pageBreakBefore w:val="0"/>
        <w:widowControl w:val="0"/>
        <w:kinsoku/>
        <w:wordWrap/>
        <w:overflowPunct/>
        <w:topLinePunct w:val="0"/>
        <w:autoSpaceDE/>
        <w:autoSpaceDN/>
        <w:bidi w:val="0"/>
        <w:adjustRightInd/>
        <w:snapToGrid/>
        <w:spacing w:line="300" w:lineRule="exact"/>
        <w:ind w:firstLine="560" w:firstLineChars="200"/>
        <w:jc w:val="both"/>
        <w:textAlignment w:val="auto"/>
        <w:rPr>
          <w:rFonts w:hint="eastAsia"/>
          <w:sz w:val="28"/>
          <w:szCs w:val="28"/>
          <w:highlight w:val="none"/>
        </w:rPr>
      </w:pPr>
      <w:r>
        <w:rPr>
          <w:rFonts w:hint="eastAsia"/>
          <w:sz w:val="28"/>
          <w:szCs w:val="28"/>
          <w:highlight w:val="none"/>
        </w:rPr>
        <w:t>严重精神障碍患者管理情况:全县目前规范管理1466人，规范管理率为88.15%</w:t>
      </w:r>
      <w:r>
        <w:rPr>
          <w:rFonts w:hint="eastAsia"/>
          <w:sz w:val="28"/>
          <w:szCs w:val="28"/>
          <w:highlight w:val="none"/>
          <w:lang w:val="en-US" w:eastAsia="zh-CN"/>
        </w:rPr>
        <w:t>，大于</w:t>
      </w:r>
      <w:r>
        <w:rPr>
          <w:rFonts w:hint="eastAsia"/>
          <w:sz w:val="28"/>
          <w:szCs w:val="28"/>
          <w:highlight w:val="none"/>
        </w:rPr>
        <w:t>75%</w:t>
      </w:r>
      <w:r>
        <w:rPr>
          <w:rFonts w:hint="eastAsia"/>
          <w:sz w:val="28"/>
          <w:szCs w:val="28"/>
          <w:highlight w:val="none"/>
          <w:lang w:val="en-US" w:eastAsia="zh-CN"/>
        </w:rPr>
        <w:t>，完成目标任务；</w:t>
      </w:r>
    </w:p>
    <w:p w14:paraId="60EAC5D5">
      <w:pPr>
        <w:keepNext w:val="0"/>
        <w:keepLines w:val="0"/>
        <w:pageBreakBefore w:val="0"/>
        <w:widowControl w:val="0"/>
        <w:kinsoku/>
        <w:wordWrap/>
        <w:overflowPunct/>
        <w:topLinePunct w:val="0"/>
        <w:autoSpaceDE/>
        <w:autoSpaceDN/>
        <w:bidi w:val="0"/>
        <w:adjustRightInd/>
        <w:snapToGrid/>
        <w:spacing w:line="300" w:lineRule="exact"/>
        <w:ind w:firstLine="560" w:firstLineChars="200"/>
        <w:jc w:val="both"/>
        <w:textAlignment w:val="auto"/>
        <w:rPr>
          <w:rFonts w:hint="eastAsia"/>
          <w:sz w:val="28"/>
          <w:szCs w:val="28"/>
          <w:highlight w:val="none"/>
          <w:lang w:val="en-US" w:eastAsia="zh-CN"/>
        </w:rPr>
      </w:pPr>
      <w:r>
        <w:rPr>
          <w:rFonts w:hint="eastAsia"/>
          <w:sz w:val="28"/>
          <w:szCs w:val="28"/>
          <w:highlight w:val="none"/>
        </w:rPr>
        <w:t>全年共登记报告肺结核患者229例，市级转入7例，共计236 例。其中不良反应停治3例，非结核性死亡5例，转入耐多药治疗1例。实际管理227例，管理率达96.2%</w:t>
      </w:r>
      <w:r>
        <w:rPr>
          <w:rFonts w:hint="eastAsia"/>
          <w:sz w:val="28"/>
          <w:szCs w:val="28"/>
          <w:highlight w:val="none"/>
          <w:lang w:val="en-US" w:eastAsia="zh-CN"/>
        </w:rPr>
        <w:t>，大于90%，完成目标任务；</w:t>
      </w:r>
    </w:p>
    <w:p w14:paraId="5264F685">
      <w:pPr>
        <w:keepNext w:val="0"/>
        <w:keepLines w:val="0"/>
        <w:pageBreakBefore w:val="0"/>
        <w:widowControl w:val="0"/>
        <w:kinsoku/>
        <w:wordWrap/>
        <w:overflowPunct/>
        <w:topLinePunct w:val="0"/>
        <w:autoSpaceDE/>
        <w:autoSpaceDN/>
        <w:bidi w:val="0"/>
        <w:adjustRightInd/>
        <w:snapToGrid/>
        <w:spacing w:line="300" w:lineRule="exact"/>
        <w:ind w:firstLine="560" w:firstLineChars="200"/>
        <w:jc w:val="both"/>
        <w:textAlignment w:val="auto"/>
        <w:rPr>
          <w:rFonts w:hint="eastAsia"/>
          <w:sz w:val="28"/>
          <w:szCs w:val="28"/>
          <w:highlight w:val="none"/>
          <w:lang w:val="en-US" w:eastAsia="zh-CN"/>
        </w:rPr>
      </w:pPr>
      <w:r>
        <w:rPr>
          <w:rFonts w:hint="eastAsia"/>
          <w:sz w:val="28"/>
          <w:szCs w:val="28"/>
          <w:highlight w:val="none"/>
        </w:rPr>
        <w:t>传染病和突发公共卫生事件报告率</w:t>
      </w:r>
      <w:r>
        <w:rPr>
          <w:rFonts w:hint="eastAsia"/>
          <w:sz w:val="28"/>
          <w:szCs w:val="28"/>
          <w:highlight w:val="none"/>
          <w:lang w:val="en-US" w:eastAsia="zh-CN"/>
        </w:rPr>
        <w:t>为100%，大于</w:t>
      </w:r>
      <w:r>
        <w:rPr>
          <w:rFonts w:hint="eastAsia"/>
          <w:sz w:val="28"/>
          <w:szCs w:val="28"/>
          <w:highlight w:val="none"/>
        </w:rPr>
        <w:t>95%</w:t>
      </w:r>
      <w:r>
        <w:rPr>
          <w:rFonts w:hint="eastAsia"/>
          <w:sz w:val="28"/>
          <w:szCs w:val="28"/>
          <w:highlight w:val="none"/>
          <w:lang w:val="en-US" w:eastAsia="zh-CN"/>
        </w:rPr>
        <w:t>，完成目标任务；</w:t>
      </w:r>
    </w:p>
    <w:p w14:paraId="70711565">
      <w:pPr>
        <w:keepNext w:val="0"/>
        <w:keepLines w:val="0"/>
        <w:pageBreakBefore w:val="0"/>
        <w:widowControl w:val="0"/>
        <w:kinsoku/>
        <w:wordWrap/>
        <w:overflowPunct/>
        <w:topLinePunct w:val="0"/>
        <w:autoSpaceDE/>
        <w:autoSpaceDN/>
        <w:bidi w:val="0"/>
        <w:adjustRightInd/>
        <w:snapToGrid/>
        <w:spacing w:line="300" w:lineRule="exact"/>
        <w:ind w:firstLine="560" w:firstLineChars="200"/>
        <w:jc w:val="both"/>
        <w:textAlignment w:val="auto"/>
        <w:rPr>
          <w:rFonts w:hint="eastAsia" w:eastAsiaTheme="minorEastAsia"/>
          <w:sz w:val="28"/>
          <w:szCs w:val="28"/>
          <w:highlight w:val="none"/>
          <w:lang w:eastAsia="zh-CN"/>
        </w:rPr>
      </w:pPr>
      <w:r>
        <w:rPr>
          <w:rFonts w:hint="eastAsia"/>
          <w:sz w:val="28"/>
          <w:szCs w:val="28"/>
          <w:highlight w:val="none"/>
        </w:rPr>
        <w:t>职业健康核心指标主动监测率</w:t>
      </w:r>
      <w:r>
        <w:rPr>
          <w:rFonts w:hint="eastAsia"/>
          <w:sz w:val="28"/>
          <w:szCs w:val="28"/>
          <w:highlight w:val="none"/>
          <w:lang w:val="en-US" w:eastAsia="zh-CN"/>
        </w:rPr>
        <w:t>100%</w:t>
      </w:r>
      <w:r>
        <w:rPr>
          <w:rFonts w:hint="eastAsia"/>
          <w:sz w:val="28"/>
          <w:szCs w:val="28"/>
          <w:highlight w:val="none"/>
          <w:lang w:eastAsia="zh-CN"/>
        </w:rPr>
        <w:t>，</w:t>
      </w:r>
      <w:r>
        <w:rPr>
          <w:rFonts w:hint="eastAsia"/>
          <w:sz w:val="28"/>
          <w:szCs w:val="28"/>
          <w:highlight w:val="none"/>
          <w:lang w:val="en-US" w:eastAsia="zh-CN"/>
        </w:rPr>
        <w:t>大于</w:t>
      </w:r>
      <w:r>
        <w:rPr>
          <w:rFonts w:hint="eastAsia"/>
          <w:sz w:val="28"/>
          <w:szCs w:val="28"/>
          <w:highlight w:val="none"/>
        </w:rPr>
        <w:t>92%</w:t>
      </w:r>
      <w:r>
        <w:rPr>
          <w:rFonts w:hint="eastAsia"/>
          <w:sz w:val="28"/>
          <w:szCs w:val="28"/>
          <w:highlight w:val="none"/>
          <w:lang w:eastAsia="zh-CN"/>
        </w:rPr>
        <w:t>，</w:t>
      </w:r>
      <w:r>
        <w:rPr>
          <w:rFonts w:hint="eastAsia"/>
          <w:sz w:val="28"/>
          <w:szCs w:val="28"/>
          <w:highlight w:val="none"/>
          <w:lang w:val="en-US" w:eastAsia="zh-CN"/>
        </w:rPr>
        <w:t>完成目标任务；</w:t>
      </w:r>
    </w:p>
    <w:p w14:paraId="0485B639">
      <w:pPr>
        <w:keepNext w:val="0"/>
        <w:keepLines w:val="0"/>
        <w:pageBreakBefore w:val="0"/>
        <w:widowControl w:val="0"/>
        <w:kinsoku/>
        <w:wordWrap/>
        <w:overflowPunct/>
        <w:topLinePunct w:val="0"/>
        <w:autoSpaceDE/>
        <w:autoSpaceDN/>
        <w:bidi w:val="0"/>
        <w:adjustRightInd/>
        <w:snapToGrid/>
        <w:spacing w:line="300" w:lineRule="exact"/>
        <w:ind w:firstLine="560" w:firstLineChars="200"/>
        <w:jc w:val="both"/>
        <w:textAlignment w:val="auto"/>
        <w:rPr>
          <w:rFonts w:hint="eastAsia" w:eastAsiaTheme="minorEastAsia"/>
          <w:sz w:val="28"/>
          <w:szCs w:val="28"/>
          <w:highlight w:val="none"/>
          <w:lang w:val="en-US" w:eastAsia="zh-CN"/>
        </w:rPr>
      </w:pPr>
      <w:r>
        <w:rPr>
          <w:rFonts w:hint="eastAsia"/>
          <w:sz w:val="28"/>
          <w:szCs w:val="28"/>
          <w:highlight w:val="none"/>
          <w:lang w:val="en-US" w:eastAsia="zh-CN"/>
        </w:rPr>
        <w:t>2024年未发生</w:t>
      </w:r>
      <w:r>
        <w:rPr>
          <w:rFonts w:hint="eastAsia"/>
          <w:sz w:val="28"/>
          <w:szCs w:val="28"/>
          <w:highlight w:val="none"/>
        </w:rPr>
        <w:t>鼠疫疫情</w:t>
      </w:r>
      <w:r>
        <w:rPr>
          <w:rFonts w:hint="eastAsia"/>
          <w:sz w:val="28"/>
          <w:szCs w:val="28"/>
          <w:highlight w:val="none"/>
          <w:lang w:eastAsia="zh-CN"/>
        </w:rPr>
        <w:t>，</w:t>
      </w:r>
      <w:r>
        <w:rPr>
          <w:rFonts w:hint="eastAsia"/>
          <w:sz w:val="28"/>
          <w:szCs w:val="28"/>
          <w:highlight w:val="none"/>
        </w:rPr>
        <w:t>及时有效规范处置</w:t>
      </w:r>
      <w:r>
        <w:rPr>
          <w:rFonts w:hint="eastAsia"/>
          <w:sz w:val="28"/>
          <w:szCs w:val="28"/>
          <w:highlight w:val="none"/>
          <w:lang w:val="en-US" w:eastAsia="zh-CN"/>
        </w:rPr>
        <w:t>率</w:t>
      </w:r>
      <w:r>
        <w:rPr>
          <w:rFonts w:hint="eastAsia"/>
          <w:sz w:val="28"/>
          <w:szCs w:val="28"/>
          <w:highlight w:val="none"/>
        </w:rPr>
        <w:t>100%</w:t>
      </w:r>
      <w:r>
        <w:rPr>
          <w:rFonts w:hint="eastAsia"/>
          <w:sz w:val="28"/>
          <w:szCs w:val="28"/>
          <w:highlight w:val="none"/>
          <w:lang w:val="en-US" w:eastAsia="zh-CN"/>
        </w:rPr>
        <w:t>；</w:t>
      </w:r>
    </w:p>
    <w:p w14:paraId="311A3D6F">
      <w:pPr>
        <w:keepNext w:val="0"/>
        <w:keepLines w:val="0"/>
        <w:pageBreakBefore w:val="0"/>
        <w:widowControl w:val="0"/>
        <w:kinsoku/>
        <w:wordWrap/>
        <w:overflowPunct/>
        <w:topLinePunct w:val="0"/>
        <w:autoSpaceDE/>
        <w:autoSpaceDN/>
        <w:bidi w:val="0"/>
        <w:adjustRightInd/>
        <w:snapToGrid/>
        <w:spacing w:line="300" w:lineRule="exact"/>
        <w:ind w:firstLine="560" w:firstLineChars="200"/>
        <w:jc w:val="both"/>
        <w:textAlignment w:val="auto"/>
        <w:rPr>
          <w:rFonts w:hint="eastAsia" w:eastAsiaTheme="minorEastAsia"/>
          <w:sz w:val="28"/>
          <w:szCs w:val="28"/>
          <w:highlight w:val="none"/>
          <w:lang w:eastAsia="zh-CN"/>
        </w:rPr>
      </w:pPr>
      <w:r>
        <w:rPr>
          <w:rFonts w:hint="eastAsia"/>
          <w:sz w:val="28"/>
          <w:szCs w:val="28"/>
          <w:highlight w:val="none"/>
        </w:rPr>
        <w:t>各直报单位传染病直报系统运行正常</w:t>
      </w:r>
      <w:r>
        <w:rPr>
          <w:rFonts w:hint="eastAsia"/>
          <w:sz w:val="28"/>
          <w:szCs w:val="28"/>
          <w:highlight w:val="none"/>
          <w:lang w:eastAsia="zh-CN"/>
        </w:rPr>
        <w:t>，</w:t>
      </w:r>
      <w:r>
        <w:rPr>
          <w:rFonts w:hint="eastAsia"/>
          <w:sz w:val="28"/>
          <w:szCs w:val="28"/>
          <w:highlight w:val="none"/>
        </w:rPr>
        <w:t>大部分医疗机构使用了统一的门诊日志、化验室、出入院登记本，绝多数医生加强工作责任心</w:t>
      </w:r>
      <w:r>
        <w:rPr>
          <w:rFonts w:hint="eastAsia"/>
          <w:sz w:val="28"/>
          <w:szCs w:val="28"/>
          <w:highlight w:val="none"/>
          <w:lang w:eastAsia="zh-CN"/>
        </w:rPr>
        <w:t>，</w:t>
      </w:r>
      <w:r>
        <w:rPr>
          <w:rFonts w:hint="eastAsia"/>
          <w:sz w:val="28"/>
          <w:szCs w:val="28"/>
          <w:highlight w:val="none"/>
        </w:rPr>
        <w:t>医院传染病报告填写登记、传染病报告卡填写准确率、完整率有了很大的提高</w:t>
      </w:r>
      <w:r>
        <w:rPr>
          <w:rFonts w:hint="eastAsia"/>
          <w:sz w:val="28"/>
          <w:szCs w:val="28"/>
          <w:highlight w:val="none"/>
          <w:lang w:eastAsia="zh-CN"/>
        </w:rPr>
        <w:t>，</w:t>
      </w:r>
      <w:r>
        <w:rPr>
          <w:rFonts w:hint="eastAsia"/>
          <w:sz w:val="28"/>
          <w:szCs w:val="28"/>
          <w:highlight w:val="none"/>
        </w:rPr>
        <w:t>各基层医疗机构在使用门诊电脑病人信息录入工作，本次发现问题比上次各项录入项完整性、准确率有了很大的提高</w:t>
      </w:r>
      <w:r>
        <w:rPr>
          <w:rFonts w:hint="eastAsia"/>
          <w:sz w:val="28"/>
          <w:szCs w:val="28"/>
          <w:highlight w:val="none"/>
          <w:lang w:eastAsia="zh-CN"/>
        </w:rPr>
        <w:t>，</w:t>
      </w:r>
      <w:r>
        <w:rPr>
          <w:rFonts w:hint="eastAsia"/>
          <w:sz w:val="28"/>
          <w:szCs w:val="28"/>
          <w:highlight w:val="none"/>
        </w:rPr>
        <w:t>直报系统传染病报告率</w:t>
      </w:r>
      <w:r>
        <w:rPr>
          <w:rFonts w:hint="eastAsia"/>
          <w:sz w:val="28"/>
          <w:szCs w:val="28"/>
          <w:highlight w:val="none"/>
          <w:lang w:eastAsia="zh-CN"/>
        </w:rPr>
        <w:t>、</w:t>
      </w:r>
      <w:r>
        <w:rPr>
          <w:rFonts w:hint="eastAsia"/>
          <w:sz w:val="28"/>
          <w:szCs w:val="28"/>
          <w:highlight w:val="none"/>
        </w:rPr>
        <w:t>报告及时率均达到100%</w:t>
      </w:r>
      <w:r>
        <w:rPr>
          <w:rFonts w:hint="eastAsia"/>
          <w:sz w:val="28"/>
          <w:szCs w:val="28"/>
          <w:highlight w:val="none"/>
          <w:lang w:val="en-US" w:eastAsia="zh-CN"/>
        </w:rPr>
        <w:t>；</w:t>
      </w:r>
    </w:p>
    <w:p w14:paraId="6223D407">
      <w:pPr>
        <w:keepNext w:val="0"/>
        <w:keepLines w:val="0"/>
        <w:pageBreakBefore w:val="0"/>
        <w:widowControl w:val="0"/>
        <w:kinsoku/>
        <w:wordWrap/>
        <w:overflowPunct/>
        <w:topLinePunct w:val="0"/>
        <w:autoSpaceDE/>
        <w:autoSpaceDN/>
        <w:bidi w:val="0"/>
        <w:adjustRightInd/>
        <w:snapToGrid/>
        <w:spacing w:line="300" w:lineRule="exact"/>
        <w:ind w:firstLine="560" w:firstLineChars="200"/>
        <w:jc w:val="both"/>
        <w:textAlignment w:val="auto"/>
        <w:rPr>
          <w:rFonts w:hint="eastAsia" w:eastAsiaTheme="minorEastAsia"/>
          <w:sz w:val="28"/>
          <w:szCs w:val="28"/>
          <w:highlight w:val="none"/>
          <w:lang w:val="en-US" w:eastAsia="zh-CN"/>
        </w:rPr>
      </w:pPr>
      <w:r>
        <w:rPr>
          <w:rFonts w:hint="eastAsia"/>
          <w:sz w:val="28"/>
          <w:szCs w:val="28"/>
          <w:highlight w:val="none"/>
        </w:rPr>
        <w:t>全年开展县级培训6次，镇级培训54次，总计培训2922人次</w:t>
      </w:r>
      <w:r>
        <w:rPr>
          <w:rFonts w:hint="eastAsia"/>
          <w:sz w:val="28"/>
          <w:szCs w:val="28"/>
          <w:highlight w:val="none"/>
          <w:lang w:eastAsia="zh-CN"/>
        </w:rPr>
        <w:t>，</w:t>
      </w:r>
      <w:r>
        <w:rPr>
          <w:rFonts w:hint="eastAsia"/>
          <w:sz w:val="28"/>
          <w:szCs w:val="28"/>
          <w:highlight w:val="none"/>
        </w:rPr>
        <w:t>对村卫生室进行督导1080次</w:t>
      </w:r>
      <w:r>
        <w:rPr>
          <w:rFonts w:hint="eastAsia"/>
          <w:sz w:val="28"/>
          <w:szCs w:val="28"/>
          <w:highlight w:val="none"/>
          <w:lang w:eastAsia="zh-CN"/>
        </w:rPr>
        <w:t>，</w:t>
      </w:r>
      <w:r>
        <w:rPr>
          <w:rFonts w:hint="eastAsia"/>
          <w:sz w:val="28"/>
          <w:szCs w:val="28"/>
          <w:highlight w:val="none"/>
        </w:rPr>
        <w:t>各单位均开展了3-4次的村级考核</w:t>
      </w:r>
      <w:r>
        <w:rPr>
          <w:rFonts w:hint="eastAsia"/>
          <w:sz w:val="28"/>
          <w:szCs w:val="28"/>
          <w:highlight w:val="none"/>
          <w:lang w:eastAsia="zh-CN"/>
        </w:rPr>
        <w:t>，</w:t>
      </w:r>
      <w:r>
        <w:rPr>
          <w:rFonts w:hint="eastAsia"/>
          <w:sz w:val="28"/>
          <w:szCs w:val="28"/>
          <w:highlight w:val="none"/>
        </w:rPr>
        <w:t>乡镇覆盖100%</w:t>
      </w:r>
      <w:r>
        <w:rPr>
          <w:rFonts w:hint="eastAsia"/>
          <w:sz w:val="28"/>
          <w:szCs w:val="28"/>
          <w:highlight w:val="none"/>
          <w:lang w:val="en-US" w:eastAsia="zh-CN"/>
        </w:rPr>
        <w:t>；</w:t>
      </w:r>
    </w:p>
    <w:p w14:paraId="2A2A1F19">
      <w:pPr>
        <w:keepNext w:val="0"/>
        <w:keepLines w:val="0"/>
        <w:pageBreakBefore w:val="0"/>
        <w:widowControl w:val="0"/>
        <w:kinsoku/>
        <w:wordWrap/>
        <w:overflowPunct/>
        <w:topLinePunct w:val="0"/>
        <w:autoSpaceDE/>
        <w:autoSpaceDN/>
        <w:bidi w:val="0"/>
        <w:adjustRightInd/>
        <w:snapToGrid/>
        <w:spacing w:line="300" w:lineRule="exact"/>
        <w:ind w:firstLine="560" w:firstLineChars="200"/>
        <w:jc w:val="both"/>
        <w:textAlignment w:val="auto"/>
        <w:rPr>
          <w:rFonts w:hint="eastAsia" w:eastAsiaTheme="minorEastAsia"/>
          <w:sz w:val="28"/>
          <w:szCs w:val="28"/>
          <w:highlight w:val="yellow"/>
          <w:lang w:eastAsia="zh-CN"/>
        </w:rPr>
      </w:pPr>
      <w:r>
        <w:rPr>
          <w:rFonts w:hint="eastAsia"/>
          <w:sz w:val="28"/>
          <w:szCs w:val="28"/>
          <w:highlight w:val="none"/>
        </w:rPr>
        <w:t>麻风病可疑线索报告率</w:t>
      </w:r>
      <w:r>
        <w:rPr>
          <w:rFonts w:hint="eastAsia"/>
          <w:sz w:val="28"/>
          <w:szCs w:val="28"/>
          <w:highlight w:val="none"/>
          <w:lang w:val="en-US" w:eastAsia="zh-CN"/>
        </w:rPr>
        <w:t>100%</w:t>
      </w:r>
      <w:r>
        <w:rPr>
          <w:rFonts w:hint="eastAsia"/>
          <w:sz w:val="28"/>
          <w:szCs w:val="28"/>
          <w:highlight w:val="none"/>
          <w:lang w:eastAsia="zh-CN"/>
        </w:rPr>
        <w:t>，</w:t>
      </w:r>
      <w:r>
        <w:rPr>
          <w:rFonts w:hint="eastAsia"/>
          <w:sz w:val="28"/>
          <w:szCs w:val="28"/>
          <w:highlight w:val="none"/>
          <w:lang w:val="en-US" w:eastAsia="zh-CN"/>
        </w:rPr>
        <w:t>大于</w:t>
      </w:r>
      <w:r>
        <w:rPr>
          <w:rFonts w:hint="eastAsia"/>
          <w:sz w:val="28"/>
          <w:szCs w:val="28"/>
          <w:highlight w:val="none"/>
        </w:rPr>
        <w:t>90%</w:t>
      </w:r>
      <w:r>
        <w:rPr>
          <w:rFonts w:hint="eastAsia"/>
          <w:sz w:val="28"/>
          <w:szCs w:val="28"/>
          <w:highlight w:val="none"/>
          <w:lang w:eastAsia="zh-CN"/>
        </w:rPr>
        <w:t>，</w:t>
      </w:r>
      <w:r>
        <w:rPr>
          <w:rFonts w:hint="eastAsia"/>
          <w:sz w:val="28"/>
          <w:szCs w:val="28"/>
          <w:highlight w:val="none"/>
          <w:lang w:val="en-US" w:eastAsia="zh-CN"/>
        </w:rPr>
        <w:t>完成目标任务。</w:t>
      </w:r>
    </w:p>
    <w:p w14:paraId="75A9E316">
      <w:pPr>
        <w:keepNext w:val="0"/>
        <w:keepLines w:val="0"/>
        <w:pageBreakBefore w:val="0"/>
        <w:widowControl w:val="0"/>
        <w:numPr>
          <w:ilvl w:val="0"/>
          <w:numId w:val="2"/>
        </w:numPr>
        <w:kinsoku/>
        <w:wordWrap/>
        <w:overflowPunct/>
        <w:topLinePunct w:val="0"/>
        <w:autoSpaceDE/>
        <w:autoSpaceDN/>
        <w:bidi w:val="0"/>
        <w:adjustRightInd/>
        <w:snapToGrid/>
        <w:spacing w:line="300" w:lineRule="exact"/>
        <w:ind w:firstLine="560" w:firstLineChars="200"/>
        <w:jc w:val="both"/>
        <w:textAlignment w:val="auto"/>
        <w:rPr>
          <w:rFonts w:hint="eastAsia"/>
          <w:sz w:val="28"/>
          <w:szCs w:val="28"/>
          <w:highlight w:val="none"/>
        </w:rPr>
      </w:pPr>
      <w:r>
        <w:rPr>
          <w:rFonts w:hint="eastAsia"/>
          <w:sz w:val="28"/>
          <w:szCs w:val="28"/>
          <w:highlight w:val="none"/>
        </w:rPr>
        <w:t>效益指标完成情况分析。</w:t>
      </w:r>
    </w:p>
    <w:p w14:paraId="07038F57">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560" w:firstLineChars="200"/>
        <w:jc w:val="both"/>
        <w:textAlignment w:val="auto"/>
        <w:rPr>
          <w:rFonts w:hint="eastAsia"/>
          <w:sz w:val="28"/>
          <w:szCs w:val="28"/>
          <w:highlight w:val="none"/>
        </w:rPr>
      </w:pPr>
      <w:r>
        <w:rPr>
          <w:rFonts w:hint="eastAsia" w:ascii="宋体" w:hAnsi="宋体" w:eastAsia="宋体" w:cs="宋体"/>
          <w:sz w:val="28"/>
          <w:szCs w:val="28"/>
          <w:highlight w:val="none"/>
        </w:rPr>
        <w:t>①</w:t>
      </w:r>
      <w:r>
        <w:rPr>
          <w:rFonts w:hint="eastAsia" w:eastAsia="宋体"/>
          <w:sz w:val="28"/>
          <w:szCs w:val="28"/>
          <w:highlight w:val="none"/>
          <w:lang w:val="en-US" w:eastAsia="zh-CN"/>
        </w:rPr>
        <w:t xml:space="preserve">  </w:t>
      </w:r>
      <w:r>
        <w:rPr>
          <w:rFonts w:hint="eastAsia"/>
          <w:sz w:val="28"/>
          <w:szCs w:val="28"/>
          <w:highlight w:val="none"/>
        </w:rPr>
        <w:t>可持续</w:t>
      </w:r>
      <w:r>
        <w:rPr>
          <w:rFonts w:hint="eastAsia"/>
          <w:sz w:val="28"/>
          <w:szCs w:val="28"/>
          <w:highlight w:val="none"/>
          <w:lang w:val="en-US" w:eastAsia="zh-CN"/>
        </w:rPr>
        <w:t>影响</w:t>
      </w:r>
      <w:r>
        <w:rPr>
          <w:rFonts w:hint="eastAsia"/>
          <w:sz w:val="28"/>
          <w:szCs w:val="28"/>
          <w:highlight w:val="none"/>
        </w:rPr>
        <w:t>指标</w:t>
      </w:r>
    </w:p>
    <w:p w14:paraId="19D33EA8">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560" w:firstLineChars="200"/>
        <w:jc w:val="both"/>
        <w:textAlignment w:val="auto"/>
        <w:rPr>
          <w:rFonts w:hint="eastAsia"/>
          <w:sz w:val="28"/>
          <w:szCs w:val="28"/>
          <w:highlight w:val="none"/>
        </w:rPr>
      </w:pPr>
      <w:r>
        <w:rPr>
          <w:rFonts w:hint="eastAsia"/>
          <w:sz w:val="28"/>
          <w:szCs w:val="28"/>
          <w:highlight w:val="none"/>
          <w:lang w:val="en-US" w:eastAsia="zh-CN"/>
        </w:rPr>
        <w:t>基本公共卫生服务项目的实施，促进了基本公共卫生服务逐步均等化，深化医药卫生体制改革、为城乡居民免费提供基本公共卫生服务，促进了2024年</w:t>
      </w:r>
      <w:r>
        <w:rPr>
          <w:rFonts w:hint="eastAsia"/>
          <w:sz w:val="28"/>
          <w:szCs w:val="28"/>
          <w:highlight w:val="none"/>
        </w:rPr>
        <w:t>基本公共卫生服务水平</w:t>
      </w:r>
      <w:r>
        <w:rPr>
          <w:rFonts w:hint="eastAsia"/>
          <w:sz w:val="28"/>
          <w:szCs w:val="28"/>
          <w:highlight w:val="none"/>
          <w:lang w:val="en-US" w:eastAsia="zh-CN"/>
        </w:rPr>
        <w:t>的</w:t>
      </w:r>
      <w:r>
        <w:rPr>
          <w:rFonts w:hint="eastAsia"/>
          <w:sz w:val="28"/>
          <w:szCs w:val="28"/>
          <w:highlight w:val="none"/>
        </w:rPr>
        <w:t>不断提高。</w:t>
      </w:r>
    </w:p>
    <w:p w14:paraId="68ABACC3">
      <w:pPr>
        <w:keepNext w:val="0"/>
        <w:keepLines w:val="0"/>
        <w:pageBreakBefore w:val="0"/>
        <w:widowControl w:val="0"/>
        <w:numPr>
          <w:ilvl w:val="0"/>
          <w:numId w:val="2"/>
        </w:numPr>
        <w:kinsoku/>
        <w:wordWrap/>
        <w:overflowPunct/>
        <w:topLinePunct w:val="0"/>
        <w:autoSpaceDE/>
        <w:autoSpaceDN/>
        <w:bidi w:val="0"/>
        <w:adjustRightInd/>
        <w:snapToGrid/>
        <w:spacing w:line="300" w:lineRule="exact"/>
        <w:ind w:left="0" w:leftChars="0" w:firstLine="560" w:firstLineChars="200"/>
        <w:jc w:val="both"/>
        <w:textAlignment w:val="auto"/>
        <w:rPr>
          <w:rFonts w:hint="eastAsia"/>
          <w:sz w:val="28"/>
          <w:szCs w:val="28"/>
          <w:highlight w:val="none"/>
        </w:rPr>
      </w:pPr>
      <w:r>
        <w:rPr>
          <w:rFonts w:hint="eastAsia"/>
          <w:sz w:val="28"/>
          <w:szCs w:val="28"/>
          <w:highlight w:val="none"/>
        </w:rPr>
        <w:t>满意度指标完成情况分析。</w:t>
      </w:r>
    </w:p>
    <w:p w14:paraId="21D1B2EA">
      <w:pPr>
        <w:keepNext w:val="0"/>
        <w:keepLines w:val="0"/>
        <w:pageBreakBefore w:val="0"/>
        <w:kinsoku/>
        <w:wordWrap/>
        <w:overflowPunct/>
        <w:topLinePunct w:val="0"/>
        <w:autoSpaceDN/>
        <w:bidi w:val="0"/>
        <w:adjustRightInd w:val="0"/>
        <w:snapToGrid w:val="0"/>
        <w:spacing w:line="300" w:lineRule="exact"/>
        <w:ind w:firstLine="640"/>
        <w:textAlignment w:val="auto"/>
        <w:rPr>
          <w:rFonts w:hint="default"/>
          <w:sz w:val="28"/>
          <w:szCs w:val="28"/>
          <w:highlight w:val="none"/>
          <w:lang w:val="en-US" w:eastAsia="zh-CN"/>
        </w:rPr>
      </w:pPr>
      <w:r>
        <w:rPr>
          <w:rFonts w:hint="eastAsia"/>
          <w:sz w:val="28"/>
          <w:szCs w:val="28"/>
          <w:highlight w:val="none"/>
          <w:lang w:val="en-US" w:eastAsia="zh-CN"/>
        </w:rPr>
        <w:t>通过对城乡居民满意度的</w:t>
      </w:r>
      <w:r>
        <w:rPr>
          <w:rFonts w:hint="eastAsia"/>
          <w:sz w:val="28"/>
          <w:szCs w:val="28"/>
          <w:highlight w:val="none"/>
          <w:lang w:eastAsia="zh-CN"/>
        </w:rPr>
        <w:t>实地调查、询问，202</w:t>
      </w:r>
      <w:r>
        <w:rPr>
          <w:rFonts w:hint="eastAsia"/>
          <w:sz w:val="28"/>
          <w:szCs w:val="28"/>
          <w:highlight w:val="none"/>
          <w:lang w:val="en-US" w:eastAsia="zh-CN"/>
        </w:rPr>
        <w:t>4</w:t>
      </w:r>
      <w:r>
        <w:rPr>
          <w:rFonts w:hint="eastAsia"/>
          <w:sz w:val="28"/>
          <w:szCs w:val="28"/>
          <w:highlight w:val="none"/>
          <w:lang w:eastAsia="zh-CN"/>
        </w:rPr>
        <w:t>年度基本公共卫生服务项目服务对象综合知晓率85%，服务对象满意度85</w:t>
      </w:r>
      <w:r>
        <w:rPr>
          <w:rFonts w:hint="eastAsia"/>
          <w:sz w:val="28"/>
          <w:szCs w:val="28"/>
          <w:highlight w:val="none"/>
          <w:lang w:val="en-US" w:eastAsia="zh-CN"/>
        </w:rPr>
        <w:t>%。</w:t>
      </w:r>
    </w:p>
    <w:p w14:paraId="349665BF">
      <w:pPr>
        <w:keepNext w:val="0"/>
        <w:keepLines w:val="0"/>
        <w:pageBreakBefore w:val="0"/>
        <w:kinsoku/>
        <w:wordWrap/>
        <w:overflowPunct/>
        <w:topLinePunct w:val="0"/>
        <w:autoSpaceDN/>
        <w:bidi w:val="0"/>
        <w:adjustRightInd w:val="0"/>
        <w:snapToGrid w:val="0"/>
        <w:spacing w:line="300" w:lineRule="exact"/>
        <w:ind w:firstLine="640"/>
        <w:textAlignment w:val="auto"/>
        <w:rPr>
          <w:rFonts w:hint="eastAsia" w:ascii="仿宋" w:hAnsi="仿宋" w:eastAsia="黑体"/>
          <w:b/>
          <w:bCs/>
          <w:sz w:val="30"/>
          <w:szCs w:val="30"/>
          <w:lang w:eastAsia="zh-CN"/>
        </w:rPr>
      </w:pPr>
      <w:r>
        <w:rPr>
          <w:rFonts w:hint="eastAsia" w:ascii="黑体" w:hAnsi="黑体" w:eastAsia="黑体"/>
          <w:sz w:val="30"/>
          <w:szCs w:val="30"/>
          <w:lang w:eastAsia="zh-CN"/>
        </w:rPr>
        <w:t>三</w:t>
      </w:r>
      <w:r>
        <w:rPr>
          <w:rFonts w:hint="eastAsia" w:ascii="黑体" w:hAnsi="黑体" w:eastAsia="黑体"/>
          <w:sz w:val="30"/>
          <w:szCs w:val="30"/>
        </w:rPr>
        <w:t>、</w:t>
      </w:r>
      <w:r>
        <w:rPr>
          <w:rFonts w:hint="eastAsia" w:ascii="黑体" w:hAnsi="黑体" w:eastAsia="黑体"/>
          <w:sz w:val="30"/>
          <w:szCs w:val="30"/>
          <w:lang w:eastAsia="zh-CN"/>
        </w:rPr>
        <w:t>下一步工作措施</w:t>
      </w:r>
    </w:p>
    <w:p w14:paraId="442DC698">
      <w:pPr>
        <w:keepNext w:val="0"/>
        <w:keepLines w:val="0"/>
        <w:pageBreakBefore w:val="0"/>
        <w:numPr>
          <w:ilvl w:val="0"/>
          <w:numId w:val="0"/>
        </w:numPr>
        <w:kinsoku/>
        <w:wordWrap/>
        <w:overflowPunct/>
        <w:topLinePunct w:val="0"/>
        <w:autoSpaceDN/>
        <w:bidi w:val="0"/>
        <w:adjustRightInd w:val="0"/>
        <w:snapToGrid w:val="0"/>
        <w:spacing w:line="300" w:lineRule="exact"/>
        <w:ind w:firstLine="600" w:firstLineChars="200"/>
        <w:textAlignment w:val="auto"/>
        <w:rPr>
          <w:rFonts w:hint="eastAsia" w:ascii="仿宋" w:hAnsi="仿宋" w:eastAsia="仿宋"/>
          <w:color w:val="000000"/>
          <w:sz w:val="30"/>
          <w:szCs w:val="30"/>
          <w:lang w:val="en-US" w:eastAsia="zh-CN"/>
        </w:rPr>
      </w:pPr>
      <w:r>
        <w:rPr>
          <w:rFonts w:hint="eastAsia" w:ascii="仿宋" w:hAnsi="仿宋" w:eastAsia="仿宋"/>
          <w:color w:val="000000"/>
          <w:sz w:val="30"/>
          <w:szCs w:val="30"/>
          <w:lang w:val="en-US" w:eastAsia="zh-CN"/>
        </w:rPr>
        <w:t>一是进一步加大公共卫生服务宣传力度，提高公卫服务知晓率。动员社会参与进一步加大基本公共卫生服务项目工作的宣传力度，从不同层面多形式持续开展基本公共卫生服务工作宣传活动，对辖区居民重点进行服务内容、服务方式和免费政策等宣传，提高人民群众对公共卫生服务的知晓率。</w:t>
      </w:r>
    </w:p>
    <w:p w14:paraId="04DA5274">
      <w:pPr>
        <w:keepNext w:val="0"/>
        <w:keepLines w:val="0"/>
        <w:pageBreakBefore w:val="0"/>
        <w:numPr>
          <w:ilvl w:val="0"/>
          <w:numId w:val="0"/>
        </w:numPr>
        <w:kinsoku/>
        <w:wordWrap/>
        <w:overflowPunct/>
        <w:topLinePunct w:val="0"/>
        <w:autoSpaceDN/>
        <w:bidi w:val="0"/>
        <w:adjustRightInd w:val="0"/>
        <w:snapToGrid w:val="0"/>
        <w:spacing w:line="300" w:lineRule="exact"/>
        <w:ind w:firstLine="600" w:firstLineChars="200"/>
        <w:textAlignment w:val="auto"/>
        <w:rPr>
          <w:rFonts w:hint="eastAsia" w:ascii="仿宋" w:hAnsi="仿宋" w:eastAsia="仿宋"/>
          <w:color w:val="000000"/>
          <w:sz w:val="30"/>
          <w:szCs w:val="30"/>
          <w:lang w:val="en-US" w:eastAsia="zh-CN"/>
        </w:rPr>
      </w:pPr>
      <w:r>
        <w:rPr>
          <w:rFonts w:hint="eastAsia" w:ascii="仿宋" w:hAnsi="仿宋" w:eastAsia="仿宋"/>
          <w:color w:val="000000"/>
          <w:sz w:val="30"/>
          <w:szCs w:val="30"/>
          <w:lang w:val="en-US" w:eastAsia="zh-CN"/>
        </w:rPr>
        <w:t>二是严格按照相关规定，合理使用资金，确保专项资金的严肃性、规范性和完整性，加强资金监管，规范执行管理，进一步完善相关财务制度。</w:t>
      </w:r>
    </w:p>
    <w:p w14:paraId="6655DEB5">
      <w:pPr>
        <w:keepNext w:val="0"/>
        <w:keepLines w:val="0"/>
        <w:pageBreakBefore w:val="0"/>
        <w:numPr>
          <w:ilvl w:val="0"/>
          <w:numId w:val="0"/>
        </w:numPr>
        <w:kinsoku/>
        <w:wordWrap/>
        <w:overflowPunct/>
        <w:topLinePunct w:val="0"/>
        <w:autoSpaceDN/>
        <w:bidi w:val="0"/>
        <w:adjustRightInd w:val="0"/>
        <w:snapToGrid w:val="0"/>
        <w:spacing w:line="300" w:lineRule="exact"/>
        <w:ind w:firstLine="600" w:firstLineChars="200"/>
        <w:textAlignment w:val="auto"/>
        <w:rPr>
          <w:rFonts w:hint="eastAsia" w:ascii="仿宋" w:hAnsi="仿宋" w:eastAsia="仿宋"/>
          <w:color w:val="000000"/>
          <w:sz w:val="30"/>
          <w:szCs w:val="30"/>
          <w:lang w:val="en-US" w:eastAsia="zh-CN"/>
        </w:rPr>
      </w:pPr>
      <w:r>
        <w:rPr>
          <w:rFonts w:hint="eastAsia" w:ascii="仿宋" w:hAnsi="仿宋" w:eastAsia="仿宋"/>
          <w:color w:val="000000"/>
          <w:sz w:val="30"/>
          <w:szCs w:val="30"/>
          <w:lang w:val="en-US" w:eastAsia="zh-CN"/>
        </w:rPr>
        <w:t>三是建议常态化推进重点项目实施。慢性病管理、孕产妇和儿童健康管理、健康教育等重点工作必须制定工作方案进行专项安排，有序推进，确保年度目标任务完成。</w:t>
      </w:r>
    </w:p>
    <w:p w14:paraId="5F2AE125">
      <w:pPr>
        <w:keepNext w:val="0"/>
        <w:keepLines w:val="0"/>
        <w:pageBreakBefore w:val="0"/>
        <w:numPr>
          <w:ilvl w:val="0"/>
          <w:numId w:val="0"/>
        </w:numPr>
        <w:kinsoku/>
        <w:wordWrap/>
        <w:overflowPunct/>
        <w:topLinePunct w:val="0"/>
        <w:autoSpaceDN/>
        <w:bidi w:val="0"/>
        <w:adjustRightInd w:val="0"/>
        <w:snapToGrid w:val="0"/>
        <w:spacing w:line="300" w:lineRule="exact"/>
        <w:ind w:firstLine="600" w:firstLineChars="200"/>
        <w:textAlignment w:val="auto"/>
        <w:rPr>
          <w:rFonts w:hint="eastAsia" w:ascii="仿宋" w:hAnsi="仿宋" w:eastAsia="仿宋"/>
          <w:color w:val="000000"/>
          <w:sz w:val="30"/>
          <w:szCs w:val="30"/>
          <w:lang w:val="en-US" w:eastAsia="zh-CN"/>
        </w:rPr>
      </w:pPr>
      <w:r>
        <w:rPr>
          <w:rFonts w:hint="eastAsia" w:ascii="仿宋" w:hAnsi="仿宋" w:eastAsia="仿宋"/>
          <w:color w:val="000000"/>
          <w:sz w:val="30"/>
          <w:szCs w:val="30"/>
          <w:lang w:val="en-US" w:eastAsia="zh-CN"/>
        </w:rPr>
        <w:t xml:space="preserve">四是一方面加强新人才的培养、一方面对现有乡镇医务团队加强培训学习，尽快完善乡镇卫生院的档案建立工作，使乡村医生及时掌握服务对象的健康状况。 </w:t>
      </w:r>
    </w:p>
    <w:p w14:paraId="496D66B8">
      <w:pPr>
        <w:keepNext w:val="0"/>
        <w:keepLines w:val="0"/>
        <w:pageBreakBefore w:val="0"/>
        <w:numPr>
          <w:ilvl w:val="0"/>
          <w:numId w:val="0"/>
        </w:numPr>
        <w:kinsoku/>
        <w:wordWrap/>
        <w:overflowPunct/>
        <w:topLinePunct w:val="0"/>
        <w:autoSpaceDN/>
        <w:bidi w:val="0"/>
        <w:adjustRightInd w:val="0"/>
        <w:snapToGrid w:val="0"/>
        <w:spacing w:line="30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olor w:val="000000"/>
          <w:sz w:val="30"/>
          <w:szCs w:val="30"/>
          <w:lang w:val="en-US" w:eastAsia="zh-CN"/>
        </w:rPr>
        <w:t>五是加强对乡镇卫生院及乡村医生的教育和培训，提高卫生质量、服务质量和服务水平，规范着装；做好环境卫生综合整治工作，营造干净、整洁、优美文明的就医环境，提高环境卫生管理水平，更好的体现社会主义新农村的新变化、新面貌。</w:t>
      </w:r>
    </w:p>
    <w:p w14:paraId="43378F54">
      <w:pPr>
        <w:keepNext w:val="0"/>
        <w:keepLines w:val="0"/>
        <w:pageBreakBefore w:val="0"/>
        <w:widowControl/>
        <w:numPr>
          <w:ilvl w:val="0"/>
          <w:numId w:val="3"/>
        </w:numPr>
        <w:kinsoku/>
        <w:wordWrap/>
        <w:overflowPunct/>
        <w:topLinePunct w:val="0"/>
        <w:autoSpaceDE w:val="0"/>
        <w:autoSpaceDN/>
        <w:bidi w:val="0"/>
        <w:spacing w:line="300" w:lineRule="exact"/>
        <w:ind w:left="0" w:leftChars="0" w:right="0" w:rightChars="0" w:firstLine="600" w:firstLineChars="200"/>
        <w:jc w:val="both"/>
        <w:textAlignment w:val="auto"/>
        <w:outlineLvl w:val="9"/>
        <w:rPr>
          <w:rFonts w:hint="eastAsia" w:ascii="黑体" w:hAnsi="黑体" w:eastAsia="黑体" w:cs="黑体"/>
          <w:sz w:val="30"/>
          <w:szCs w:val="30"/>
          <w:lang w:eastAsia="zh-CN"/>
        </w:rPr>
      </w:pPr>
      <w:r>
        <w:rPr>
          <w:rFonts w:hint="eastAsia" w:ascii="黑体" w:hAnsi="黑体" w:eastAsia="黑体" w:cs="黑体"/>
          <w:sz w:val="30"/>
          <w:szCs w:val="30"/>
          <w:lang w:eastAsia="zh-CN"/>
        </w:rPr>
        <w:t>绩效自评结果拟应用和公开情况</w:t>
      </w:r>
    </w:p>
    <w:p w14:paraId="15CEA9BD">
      <w:pPr>
        <w:keepNext w:val="0"/>
        <w:keepLines w:val="0"/>
        <w:pageBreakBefore w:val="0"/>
        <w:widowControl/>
        <w:kinsoku/>
        <w:wordWrap/>
        <w:overflowPunct/>
        <w:topLinePunct w:val="0"/>
        <w:autoSpaceDN/>
        <w:bidi w:val="0"/>
        <w:adjustRightInd w:val="0"/>
        <w:snapToGrid w:val="0"/>
        <w:spacing w:line="300" w:lineRule="exact"/>
        <w:ind w:firstLine="900" w:firstLineChars="3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绩效自评结果将在县财政、县卫健局网站公开。</w:t>
      </w:r>
    </w:p>
    <w:p w14:paraId="7CB3F68C">
      <w:pPr>
        <w:keepNext w:val="0"/>
        <w:keepLines w:val="0"/>
        <w:pageBreakBefore w:val="0"/>
        <w:widowControl/>
        <w:numPr>
          <w:ilvl w:val="0"/>
          <w:numId w:val="0"/>
        </w:numPr>
        <w:kinsoku/>
        <w:wordWrap/>
        <w:overflowPunct/>
        <w:topLinePunct w:val="0"/>
        <w:autoSpaceDE w:val="0"/>
        <w:autoSpaceDN/>
        <w:bidi w:val="0"/>
        <w:spacing w:line="300" w:lineRule="exact"/>
        <w:ind w:leftChars="200" w:right="0" w:rightChars="0"/>
        <w:jc w:val="both"/>
        <w:textAlignment w:val="auto"/>
        <w:outlineLvl w:val="9"/>
        <w:rPr>
          <w:rFonts w:hint="eastAsia" w:ascii="黑体" w:hAnsi="黑体" w:eastAsia="黑体" w:cs="黑体"/>
          <w:sz w:val="30"/>
          <w:szCs w:val="30"/>
          <w:lang w:eastAsia="zh-CN"/>
        </w:rPr>
      </w:pPr>
      <w:r>
        <w:rPr>
          <w:rFonts w:hint="eastAsia" w:ascii="黑体" w:hAnsi="黑体" w:eastAsia="黑体" w:cs="黑体"/>
          <w:sz w:val="30"/>
          <w:szCs w:val="30"/>
          <w:lang w:eastAsia="zh-CN"/>
        </w:rPr>
        <w:t>五、上年度部门自评结果应用情况</w:t>
      </w:r>
    </w:p>
    <w:p w14:paraId="4A5ABFCB">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560" w:firstLineChars="200"/>
        <w:jc w:val="both"/>
        <w:textAlignment w:val="auto"/>
        <w:rPr>
          <w:rFonts w:hint="eastAsia" w:eastAsiaTheme="minorEastAsia"/>
          <w:sz w:val="28"/>
          <w:szCs w:val="28"/>
          <w:lang w:val="en-US" w:eastAsia="zh-CN"/>
        </w:rPr>
      </w:pPr>
      <w:r>
        <w:rPr>
          <w:rFonts w:hint="eastAsia"/>
          <w:sz w:val="28"/>
          <w:szCs w:val="28"/>
        </w:rPr>
        <w:t>严格按照项目绩效考核评分标准及细则等相关事宜操作，按照项目绩效考核评分表标准</w:t>
      </w:r>
      <w:r>
        <w:rPr>
          <w:rFonts w:hint="eastAsia"/>
          <w:sz w:val="28"/>
          <w:szCs w:val="28"/>
          <w:lang w:val="en-US" w:eastAsia="zh-CN"/>
        </w:rPr>
        <w:t>进行考核事宜</w:t>
      </w:r>
      <w:r>
        <w:rPr>
          <w:rFonts w:hint="eastAsia"/>
          <w:sz w:val="28"/>
          <w:szCs w:val="28"/>
        </w:rPr>
        <w:t>，绩效考核指标包括：工作开展情况、项目资金管理情况、项目完成情况等</w:t>
      </w:r>
      <w:r>
        <w:rPr>
          <w:rFonts w:hint="eastAsia"/>
          <w:sz w:val="28"/>
          <w:szCs w:val="28"/>
          <w:lang w:eastAsia="zh-CN"/>
        </w:rPr>
        <w:t>。</w:t>
      </w:r>
      <w:r>
        <w:rPr>
          <w:rFonts w:hint="eastAsia"/>
          <w:sz w:val="28"/>
          <w:szCs w:val="28"/>
          <w:lang w:val="en-US" w:eastAsia="zh-CN"/>
        </w:rPr>
        <w:t>对项目按年实施一次人员考核，并纳入日常考核管理当中。</w:t>
      </w:r>
    </w:p>
    <w:p w14:paraId="3F854330">
      <w:pPr>
        <w:keepNext w:val="0"/>
        <w:keepLines w:val="0"/>
        <w:pageBreakBefore w:val="0"/>
        <w:widowControl/>
        <w:kinsoku/>
        <w:wordWrap/>
        <w:overflowPunct/>
        <w:topLinePunct w:val="0"/>
        <w:autoSpaceDN/>
        <w:bidi w:val="0"/>
        <w:adjustRightInd w:val="0"/>
        <w:snapToGrid w:val="0"/>
        <w:spacing w:line="300" w:lineRule="exact"/>
        <w:ind w:firstLine="900" w:firstLineChars="300"/>
        <w:textAlignment w:val="auto"/>
        <w:rPr>
          <w:rFonts w:hint="eastAsia" w:ascii="仿宋" w:hAnsi="仿宋" w:eastAsia="仿宋"/>
          <w:sz w:val="30"/>
          <w:szCs w:val="30"/>
          <w:lang w:val="en-US" w:eastAsia="zh-CN"/>
        </w:rPr>
      </w:pPr>
      <w:r>
        <w:rPr>
          <w:rFonts w:hint="eastAsia" w:ascii="仿宋" w:hAnsi="仿宋" w:eastAsia="仿宋"/>
          <w:sz w:val="30"/>
          <w:szCs w:val="30"/>
        </w:rPr>
        <w:t xml:space="preserve">  </w:t>
      </w:r>
      <w:r>
        <w:rPr>
          <w:rFonts w:hint="eastAsia" w:ascii="仿宋" w:hAnsi="仿宋" w:eastAsia="仿宋"/>
          <w:sz w:val="30"/>
          <w:szCs w:val="30"/>
          <w:lang w:val="en-US" w:eastAsia="zh-CN"/>
        </w:rPr>
        <w:t xml:space="preserve">                             </w:t>
      </w:r>
    </w:p>
    <w:p w14:paraId="3AD6668A">
      <w:pPr>
        <w:keepNext w:val="0"/>
        <w:keepLines w:val="0"/>
        <w:pageBreakBefore w:val="0"/>
        <w:widowControl/>
        <w:kinsoku/>
        <w:wordWrap/>
        <w:overflowPunct/>
        <w:topLinePunct w:val="0"/>
        <w:autoSpaceDN/>
        <w:bidi w:val="0"/>
        <w:adjustRightInd w:val="0"/>
        <w:snapToGrid w:val="0"/>
        <w:spacing w:line="300" w:lineRule="exact"/>
        <w:ind w:firstLine="900" w:firstLineChars="300"/>
        <w:textAlignment w:val="auto"/>
        <w:rPr>
          <w:rFonts w:hint="eastAsia" w:ascii="仿宋" w:hAnsi="仿宋" w:eastAsia="仿宋"/>
          <w:sz w:val="30"/>
          <w:szCs w:val="30"/>
          <w:lang w:val="en-US" w:eastAsia="zh-CN"/>
        </w:rPr>
      </w:pPr>
    </w:p>
    <w:p w14:paraId="0AD789C4">
      <w:pPr>
        <w:keepNext w:val="0"/>
        <w:keepLines w:val="0"/>
        <w:pageBreakBefore w:val="0"/>
        <w:widowControl/>
        <w:kinsoku/>
        <w:wordWrap/>
        <w:overflowPunct/>
        <w:topLinePunct w:val="0"/>
        <w:autoSpaceDN/>
        <w:bidi w:val="0"/>
        <w:adjustRightInd w:val="0"/>
        <w:snapToGrid w:val="0"/>
        <w:spacing w:line="300" w:lineRule="exact"/>
        <w:ind w:firstLine="900" w:firstLineChars="300"/>
        <w:textAlignment w:val="auto"/>
        <w:rPr>
          <w:rFonts w:hint="eastAsia" w:ascii="仿宋" w:hAnsi="仿宋" w:eastAsia="仿宋"/>
          <w:sz w:val="30"/>
          <w:szCs w:val="30"/>
          <w:lang w:val="en-US" w:eastAsia="zh-CN"/>
        </w:rPr>
      </w:pPr>
    </w:p>
    <w:p w14:paraId="47FFFC31">
      <w:pPr>
        <w:keepNext w:val="0"/>
        <w:keepLines w:val="0"/>
        <w:pageBreakBefore w:val="0"/>
        <w:widowControl/>
        <w:kinsoku/>
        <w:wordWrap/>
        <w:overflowPunct/>
        <w:topLinePunct w:val="0"/>
        <w:autoSpaceDN/>
        <w:bidi w:val="0"/>
        <w:adjustRightInd w:val="0"/>
        <w:snapToGrid w:val="0"/>
        <w:spacing w:line="300" w:lineRule="exact"/>
        <w:ind w:firstLine="900" w:firstLineChars="300"/>
        <w:textAlignment w:val="auto"/>
        <w:rPr>
          <w:rFonts w:hint="eastAsia" w:ascii="仿宋" w:hAnsi="仿宋" w:eastAsia="仿宋"/>
          <w:sz w:val="30"/>
          <w:szCs w:val="30"/>
          <w:lang w:val="en-US" w:eastAsia="zh-CN"/>
        </w:rPr>
      </w:pPr>
    </w:p>
    <w:p w14:paraId="3F0854CA">
      <w:pPr>
        <w:keepNext w:val="0"/>
        <w:keepLines w:val="0"/>
        <w:pageBreakBefore w:val="0"/>
        <w:widowControl/>
        <w:kinsoku/>
        <w:wordWrap/>
        <w:overflowPunct/>
        <w:topLinePunct w:val="0"/>
        <w:autoSpaceDN/>
        <w:bidi w:val="0"/>
        <w:adjustRightInd w:val="0"/>
        <w:snapToGrid w:val="0"/>
        <w:spacing w:line="300" w:lineRule="exact"/>
        <w:ind w:firstLine="900" w:firstLineChars="300"/>
        <w:textAlignment w:val="auto"/>
        <w:rPr>
          <w:rFonts w:hint="eastAsia" w:ascii="仿宋" w:hAnsi="仿宋" w:eastAsia="仿宋"/>
          <w:sz w:val="30"/>
          <w:szCs w:val="30"/>
          <w:lang w:val="en-US" w:eastAsia="zh-CN"/>
        </w:rPr>
      </w:pPr>
    </w:p>
    <w:p w14:paraId="47F425E9">
      <w:pPr>
        <w:keepNext w:val="0"/>
        <w:keepLines w:val="0"/>
        <w:pageBreakBefore w:val="0"/>
        <w:widowControl/>
        <w:kinsoku/>
        <w:wordWrap/>
        <w:overflowPunct/>
        <w:topLinePunct w:val="0"/>
        <w:autoSpaceDN/>
        <w:bidi w:val="0"/>
        <w:adjustRightInd w:val="0"/>
        <w:snapToGrid w:val="0"/>
        <w:spacing w:line="300" w:lineRule="exact"/>
        <w:ind w:firstLine="900" w:firstLineChars="300"/>
        <w:textAlignment w:val="auto"/>
        <w:rPr>
          <w:rFonts w:hint="eastAsia" w:ascii="仿宋" w:hAnsi="仿宋" w:eastAsia="仿宋"/>
          <w:sz w:val="30"/>
          <w:szCs w:val="30"/>
          <w:lang w:val="en-US" w:eastAsia="zh-CN"/>
        </w:rPr>
      </w:pPr>
    </w:p>
    <w:p w14:paraId="50CACA31">
      <w:pPr>
        <w:keepNext w:val="0"/>
        <w:keepLines w:val="0"/>
        <w:pageBreakBefore w:val="0"/>
        <w:widowControl/>
        <w:kinsoku/>
        <w:wordWrap/>
        <w:overflowPunct/>
        <w:topLinePunct w:val="0"/>
        <w:autoSpaceDN/>
        <w:bidi w:val="0"/>
        <w:adjustRightInd w:val="0"/>
        <w:snapToGrid w:val="0"/>
        <w:spacing w:line="300" w:lineRule="exact"/>
        <w:ind w:firstLine="900" w:firstLineChars="300"/>
        <w:textAlignment w:val="auto"/>
        <w:rPr>
          <w:rFonts w:hint="eastAsia" w:ascii="仿宋" w:hAnsi="仿宋" w:eastAsia="仿宋"/>
          <w:sz w:val="30"/>
          <w:szCs w:val="30"/>
          <w:lang w:val="en-US" w:eastAsia="zh-CN"/>
        </w:rPr>
      </w:pPr>
    </w:p>
    <w:p w14:paraId="44171464">
      <w:pPr>
        <w:keepNext w:val="0"/>
        <w:keepLines w:val="0"/>
        <w:pageBreakBefore w:val="0"/>
        <w:widowControl/>
        <w:kinsoku/>
        <w:wordWrap/>
        <w:overflowPunct/>
        <w:topLinePunct w:val="0"/>
        <w:autoSpaceDN/>
        <w:bidi w:val="0"/>
        <w:adjustRightInd w:val="0"/>
        <w:snapToGrid w:val="0"/>
        <w:spacing w:line="300" w:lineRule="exact"/>
        <w:ind w:firstLine="900" w:firstLineChars="300"/>
        <w:textAlignment w:val="auto"/>
        <w:rPr>
          <w:rFonts w:hint="eastAsia" w:ascii="仿宋" w:hAnsi="仿宋" w:eastAsia="仿宋"/>
          <w:sz w:val="30"/>
          <w:szCs w:val="30"/>
          <w:lang w:val="en-US" w:eastAsia="zh-CN"/>
        </w:rPr>
      </w:pPr>
    </w:p>
    <w:p w14:paraId="42E498FB">
      <w:pPr>
        <w:keepNext w:val="0"/>
        <w:keepLines w:val="0"/>
        <w:pageBreakBefore w:val="0"/>
        <w:widowControl/>
        <w:kinsoku/>
        <w:wordWrap/>
        <w:overflowPunct/>
        <w:topLinePunct w:val="0"/>
        <w:autoSpaceDN/>
        <w:bidi w:val="0"/>
        <w:adjustRightInd w:val="0"/>
        <w:snapToGrid w:val="0"/>
        <w:spacing w:line="300" w:lineRule="exact"/>
        <w:ind w:firstLine="900" w:firstLineChars="300"/>
        <w:textAlignment w:val="auto"/>
        <w:rPr>
          <w:rFonts w:hint="eastAsia" w:ascii="仿宋" w:hAnsi="仿宋" w:eastAsia="仿宋"/>
          <w:sz w:val="30"/>
          <w:szCs w:val="30"/>
          <w:lang w:val="en-US" w:eastAsia="zh-CN"/>
        </w:rPr>
      </w:pPr>
    </w:p>
    <w:p w14:paraId="65FA70CD">
      <w:pPr>
        <w:keepNext w:val="0"/>
        <w:keepLines w:val="0"/>
        <w:pageBreakBefore w:val="0"/>
        <w:widowControl/>
        <w:kinsoku/>
        <w:wordWrap/>
        <w:overflowPunct/>
        <w:topLinePunct w:val="0"/>
        <w:autoSpaceDN/>
        <w:bidi w:val="0"/>
        <w:adjustRightInd w:val="0"/>
        <w:snapToGrid w:val="0"/>
        <w:spacing w:line="300" w:lineRule="exact"/>
        <w:ind w:firstLine="900" w:firstLineChars="300"/>
        <w:textAlignment w:val="auto"/>
        <w:rPr>
          <w:rFonts w:hint="eastAsia" w:ascii="仿宋" w:hAnsi="仿宋" w:eastAsia="仿宋"/>
          <w:sz w:val="30"/>
          <w:szCs w:val="30"/>
          <w:lang w:val="en-US" w:eastAsia="zh-CN"/>
        </w:rPr>
      </w:pPr>
    </w:p>
    <w:p w14:paraId="72BFA12A">
      <w:pPr>
        <w:keepNext w:val="0"/>
        <w:keepLines w:val="0"/>
        <w:pageBreakBefore w:val="0"/>
        <w:widowControl/>
        <w:kinsoku/>
        <w:wordWrap/>
        <w:overflowPunct/>
        <w:topLinePunct w:val="0"/>
        <w:autoSpaceDN/>
        <w:bidi w:val="0"/>
        <w:adjustRightInd w:val="0"/>
        <w:snapToGrid w:val="0"/>
        <w:spacing w:line="300" w:lineRule="exact"/>
        <w:ind w:firstLine="900" w:firstLineChars="300"/>
        <w:textAlignment w:val="auto"/>
        <w:rPr>
          <w:rFonts w:hint="eastAsia" w:ascii="仿宋" w:hAnsi="仿宋" w:eastAsia="仿宋"/>
          <w:sz w:val="30"/>
          <w:szCs w:val="30"/>
          <w:lang w:val="en-US" w:eastAsia="zh-CN"/>
        </w:rPr>
      </w:pPr>
    </w:p>
    <w:p w14:paraId="6837ED83">
      <w:pPr>
        <w:keepNext w:val="0"/>
        <w:keepLines w:val="0"/>
        <w:pageBreakBefore w:val="0"/>
        <w:widowControl/>
        <w:kinsoku/>
        <w:wordWrap/>
        <w:overflowPunct/>
        <w:topLinePunct w:val="0"/>
        <w:autoSpaceDN/>
        <w:bidi w:val="0"/>
        <w:adjustRightInd w:val="0"/>
        <w:snapToGrid w:val="0"/>
        <w:spacing w:line="300" w:lineRule="exact"/>
        <w:ind w:firstLine="900" w:firstLineChars="300"/>
        <w:textAlignment w:val="auto"/>
        <w:rPr>
          <w:rFonts w:hint="eastAsia" w:ascii="仿宋" w:hAnsi="仿宋" w:eastAsia="仿宋"/>
          <w:sz w:val="30"/>
          <w:szCs w:val="30"/>
        </w:rPr>
      </w:pPr>
      <w:r>
        <w:rPr>
          <w:rFonts w:hint="eastAsia" w:ascii="仿宋" w:hAnsi="仿宋" w:eastAsia="仿宋"/>
          <w:sz w:val="30"/>
          <w:szCs w:val="30"/>
          <w:lang w:val="en-US" w:eastAsia="zh-CN"/>
        </w:rPr>
        <w:t xml:space="preserve">                                </w:t>
      </w:r>
      <w:r>
        <w:rPr>
          <w:rFonts w:hint="eastAsia" w:ascii="仿宋" w:hAnsi="仿宋" w:eastAsia="仿宋"/>
          <w:sz w:val="30"/>
          <w:szCs w:val="30"/>
        </w:rPr>
        <w:t>嘉鱼县卫生</w:t>
      </w:r>
      <w:r>
        <w:rPr>
          <w:rFonts w:hint="eastAsia" w:ascii="仿宋" w:hAnsi="仿宋" w:eastAsia="仿宋"/>
          <w:sz w:val="30"/>
          <w:szCs w:val="30"/>
          <w:lang w:eastAsia="zh-CN"/>
        </w:rPr>
        <w:t>健康</w:t>
      </w:r>
      <w:r>
        <w:rPr>
          <w:rFonts w:hint="eastAsia" w:ascii="仿宋" w:hAnsi="仿宋" w:eastAsia="仿宋"/>
          <w:sz w:val="30"/>
          <w:szCs w:val="30"/>
        </w:rPr>
        <w:t>局</w:t>
      </w:r>
    </w:p>
    <w:p w14:paraId="3C9CAAA3">
      <w:pPr>
        <w:ind w:firstLine="5700" w:firstLineChars="1900"/>
      </w:pPr>
      <w:r>
        <w:rPr>
          <w:rFonts w:hint="eastAsia" w:ascii="仿宋" w:hAnsi="仿宋" w:eastAsia="仿宋"/>
          <w:sz w:val="30"/>
          <w:szCs w:val="30"/>
          <w:lang w:val="en-US" w:eastAsia="zh-CN"/>
        </w:rPr>
        <w:t xml:space="preserve"> </w:t>
      </w:r>
      <w:r>
        <w:rPr>
          <w:rFonts w:hint="eastAsia" w:ascii="仿宋" w:hAnsi="仿宋" w:eastAsia="仿宋"/>
          <w:sz w:val="30"/>
          <w:szCs w:val="30"/>
        </w:rPr>
        <w:t>20</w:t>
      </w:r>
      <w:r>
        <w:rPr>
          <w:rFonts w:hint="eastAsia" w:ascii="仿宋" w:hAnsi="仿宋" w:eastAsia="仿宋"/>
          <w:sz w:val="30"/>
          <w:szCs w:val="30"/>
          <w:lang w:val="en-US" w:eastAsia="zh-CN"/>
        </w:rPr>
        <w:t>25</w:t>
      </w:r>
      <w:r>
        <w:rPr>
          <w:rFonts w:hint="eastAsia" w:ascii="仿宋" w:hAnsi="仿宋" w:eastAsia="仿宋"/>
          <w:sz w:val="30"/>
          <w:szCs w:val="30"/>
        </w:rPr>
        <w:t>年</w:t>
      </w:r>
      <w:r>
        <w:rPr>
          <w:rFonts w:hint="eastAsia" w:ascii="仿宋" w:hAnsi="仿宋" w:eastAsia="仿宋"/>
          <w:sz w:val="30"/>
          <w:szCs w:val="30"/>
          <w:lang w:val="en-US" w:eastAsia="zh-CN"/>
        </w:rPr>
        <w:t>5</w:t>
      </w:r>
      <w:r>
        <w:rPr>
          <w:rFonts w:hint="eastAsia" w:ascii="仿宋" w:hAnsi="仿宋" w:eastAsia="仿宋"/>
          <w:sz w:val="30"/>
          <w:szCs w:val="30"/>
        </w:rPr>
        <w:t>月</w:t>
      </w:r>
      <w:r>
        <w:rPr>
          <w:rFonts w:hint="eastAsia" w:ascii="仿宋" w:hAnsi="仿宋" w:eastAsia="仿宋"/>
          <w:sz w:val="30"/>
          <w:szCs w:val="30"/>
          <w:lang w:val="en-US" w:eastAsia="zh-CN"/>
        </w:rPr>
        <w:t>13</w:t>
      </w:r>
      <w:r>
        <w:rPr>
          <w:rFonts w:hint="eastAsia" w:ascii="仿宋" w:hAnsi="仿宋" w:eastAsia="仿宋"/>
          <w:sz w:val="30"/>
          <w:szCs w:val="30"/>
        </w:rPr>
        <w:t>日</w:t>
      </w:r>
    </w:p>
    <w:p w14:paraId="5764953B">
      <w:pPr>
        <w:rPr>
          <w:rFonts w:hint="eastAsia" w:ascii="仿宋" w:hAnsi="仿宋" w:eastAsia="仿宋"/>
          <w:sz w:val="30"/>
          <w:szCs w:val="30"/>
        </w:rPr>
      </w:pPr>
    </w:p>
    <w:p w14:paraId="71211C4E">
      <w:pPr>
        <w:rPr>
          <w:rFonts w:hint="default" w:ascii="仿宋" w:hAnsi="仿宋" w:eastAsia="仿宋"/>
          <w:sz w:val="30"/>
          <w:szCs w:val="30"/>
          <w:lang w:val="en-US" w:eastAsia="zh-CN"/>
        </w:rPr>
      </w:pPr>
      <w:r>
        <w:rPr>
          <w:rFonts w:hint="eastAsia" w:ascii="仿宋" w:hAnsi="仿宋" w:eastAsia="仿宋"/>
          <w:sz w:val="30"/>
          <w:szCs w:val="30"/>
          <w:lang w:val="en-US" w:eastAsia="zh-CN"/>
        </w:rPr>
        <w:t xml:space="preserve">                      </w:t>
      </w:r>
      <w:r>
        <w:rPr>
          <w:rFonts w:hint="eastAsia" w:ascii="仿宋" w:hAnsi="仿宋" w:eastAsia="仿宋"/>
          <w:sz w:val="30"/>
          <w:szCs w:val="30"/>
          <w:lang w:val="en-US" w:eastAsia="zh-CN"/>
        </w:rPr>
        <w:drawing>
          <wp:inline distT="0" distB="0" distL="114300" distR="114300">
            <wp:extent cx="1552575" cy="1571625"/>
            <wp:effectExtent l="0" t="0" r="9525" b="9525"/>
            <wp:docPr id="3" name="图片 3" descr="EAD5F16AD56F53E6BD215957835C7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EAD5F16AD56F53E6BD215957835C7832"/>
                    <pic:cNvPicPr>
                      <a:picLocks noChangeAspect="1"/>
                    </pic:cNvPicPr>
                  </pic:nvPicPr>
                  <pic:blipFill>
                    <a:blip r:embed="rId4"/>
                    <a:stretch>
                      <a:fillRect/>
                    </a:stretch>
                  </pic:blipFill>
                  <pic:spPr>
                    <a:xfrm>
                      <a:off x="0" y="0"/>
                      <a:ext cx="1552575" cy="1571625"/>
                    </a:xfrm>
                    <a:prstGeom prst="rect">
                      <a:avLst/>
                    </a:prstGeom>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FA5850"/>
    <w:multiLevelType w:val="singleLevel"/>
    <w:tmpl w:val="A4FA5850"/>
    <w:lvl w:ilvl="0" w:tentative="0">
      <w:start w:val="2"/>
      <w:numFmt w:val="decimal"/>
      <w:suff w:val="nothing"/>
      <w:lvlText w:val="（%1）"/>
      <w:lvlJc w:val="left"/>
    </w:lvl>
  </w:abstractNum>
  <w:abstractNum w:abstractNumId="1">
    <w:nsid w:val="4429E01C"/>
    <w:multiLevelType w:val="singleLevel"/>
    <w:tmpl w:val="4429E01C"/>
    <w:lvl w:ilvl="0" w:tentative="0">
      <w:start w:val="2"/>
      <w:numFmt w:val="chineseCounting"/>
      <w:suff w:val="nothing"/>
      <w:lvlText w:val="（%1）"/>
      <w:lvlJc w:val="left"/>
      <w:pPr>
        <w:ind w:left="571" w:firstLine="0"/>
      </w:pPr>
      <w:rPr>
        <w:rFonts w:hint="eastAsia"/>
      </w:rPr>
    </w:lvl>
  </w:abstractNum>
  <w:abstractNum w:abstractNumId="2">
    <w:nsid w:val="695A62F8"/>
    <w:multiLevelType w:val="singleLevel"/>
    <w:tmpl w:val="695A62F8"/>
    <w:lvl w:ilvl="0" w:tentative="0">
      <w:start w:val="4"/>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902664"/>
    <w:rsid w:val="0C9026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4</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2025-05-16T03:24:00Z</dcterms:created>
  <dc:creator> 勤</dc:creator>
  <cp:lastModifiedBy> 勤</cp:lastModifiedBy>
  <dcterms:modified xsi:type="dcterms:W3CDTF">2025-05-16T03:29:38Z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977B134C6CF546EAAD44F8A4B72C9BEE_11</vt:lpwstr>
  </property>
  <property fmtid="{D5CDD505-2E9C-101B-9397-08002B2CF9AE}" pid="4" name="KSOTemplateDocerSaveRecord">
    <vt:lpwstr>eyJoZGlkIjoiMDk1NjlkNTlkODQyMjE4MDAwNDZjZTAzZjI4MDE2MGIiLCJ1c2VySWQiOiI1MTQ4MzkyNzEifQ==</vt:lpwstr>
  </property>
</Properties>
</file>