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3"/>
        <w:rPr>
          <w:rFonts w:hint="default" w:ascii="宋体" w:hAnsi="宋体"/>
          <w:b/>
          <w:sz w:val="36"/>
          <w:lang w:val="en-US" w:eastAsia="zh-CN"/>
        </w:rPr>
      </w:pPr>
      <w:r>
        <w:rPr>
          <w:rFonts w:hint="eastAsia" w:ascii="宋体" w:hAnsi="宋体"/>
          <w:b/>
          <w:sz w:val="36"/>
          <w:lang w:eastAsia="zh-CN"/>
        </w:rPr>
        <w:t>嘉鱼</w:t>
      </w:r>
      <w:r>
        <w:rPr>
          <w:rFonts w:ascii="宋体" w:hAnsi="宋体"/>
          <w:b/>
          <w:sz w:val="36"/>
        </w:rPr>
        <w:t>县</w:t>
      </w:r>
      <w:r>
        <w:rPr>
          <w:rFonts w:hint="eastAsia" w:ascii="宋体" w:hAnsi="宋体"/>
          <w:b/>
          <w:sz w:val="36"/>
          <w:lang w:eastAsia="zh-CN"/>
        </w:rPr>
        <w:t>水利局</w:t>
      </w:r>
      <w:r>
        <w:rPr>
          <w:rFonts w:hint="eastAsia" w:ascii="宋体" w:hAnsi="宋体"/>
          <w:b/>
          <w:sz w:val="36"/>
          <w:lang w:val="en-US" w:eastAsia="zh-CN"/>
        </w:rPr>
        <w:t>2018年度余码峡港河治理项目</w:t>
      </w:r>
    </w:p>
    <w:p>
      <w:pPr>
        <w:widowControl/>
        <w:jc w:val="center"/>
        <w:outlineLvl w:val="3"/>
        <w:rPr>
          <w:rFonts w:ascii="宋体"/>
          <w:b/>
          <w:sz w:val="36"/>
        </w:rPr>
      </w:pPr>
      <w:r>
        <w:rPr>
          <w:rFonts w:ascii="宋体" w:hAnsi="宋体"/>
          <w:b/>
          <w:sz w:val="36"/>
        </w:rPr>
        <w:t>绩效评价报告</w:t>
      </w:r>
    </w:p>
    <w:p>
      <w:pPr>
        <w:spacing w:before="120" w:beforeLines="50"/>
        <w:jc w:val="center"/>
        <w:rPr>
          <w:rFonts w:ascii="宋体"/>
          <w:b/>
          <w:sz w:val="32"/>
        </w:rPr>
      </w:pPr>
      <w:r>
        <w:rPr>
          <w:rFonts w:ascii="宋体" w:hAnsi="宋体"/>
          <w:b/>
          <w:sz w:val="32"/>
        </w:rPr>
        <w:t>咸同评字[201</w:t>
      </w:r>
      <w:r>
        <w:rPr>
          <w:rFonts w:hint="eastAsia" w:ascii="宋体" w:hAnsi="宋体"/>
          <w:b/>
          <w:sz w:val="32"/>
          <w:lang w:val="en-US" w:eastAsia="zh-CN"/>
        </w:rPr>
        <w:t>9</w:t>
      </w:r>
      <w:r>
        <w:rPr>
          <w:rFonts w:ascii="宋体" w:hAnsi="宋体"/>
          <w:b/>
          <w:sz w:val="32"/>
        </w:rPr>
        <w:t>]第</w:t>
      </w:r>
      <w:r>
        <w:rPr>
          <w:rFonts w:hint="eastAsia" w:ascii="宋体" w:hAnsi="宋体"/>
          <w:b/>
          <w:sz w:val="32"/>
          <w:lang w:val="en-US" w:eastAsia="zh-CN"/>
        </w:rPr>
        <w:t>007</w:t>
      </w:r>
      <w:r>
        <w:rPr>
          <w:rFonts w:ascii="宋体" w:hAnsi="宋体"/>
          <w:b/>
          <w:sz w:val="32"/>
        </w:rPr>
        <w:t>号</w:t>
      </w:r>
    </w:p>
    <w:p>
      <w:pPr>
        <w:widowControl/>
        <w:jc w:val="center"/>
        <w:outlineLvl w:val="3"/>
        <w:rPr>
          <w:rFonts w:ascii="仿宋_GB2312" w:hAnsi="Gulim" w:eastAsia="仿宋_GB2312"/>
          <w:kern w:val="0"/>
          <w:sz w:val="28"/>
        </w:rPr>
      </w:pPr>
      <w:r>
        <w:rPr>
          <w:rFonts w:ascii="仿宋_GB2312" w:hAnsi="Gulim" w:eastAsia="仿宋_GB2312"/>
          <w:kern w:val="0"/>
          <w:sz w:val="28"/>
        </w:rPr>
        <w:t xml:space="preserve">   </w:t>
      </w:r>
    </w:p>
    <w:p>
      <w:pPr>
        <w:widowControl/>
        <w:jc w:val="center"/>
        <w:outlineLvl w:val="3"/>
        <w:rPr>
          <w:rFonts w:ascii="仿宋_GB2312" w:hAnsi="Gulim" w:eastAsia="仿宋_GB2312"/>
          <w:kern w:val="0"/>
          <w:sz w:val="28"/>
        </w:rPr>
      </w:pPr>
    </w:p>
    <w:p>
      <w:pPr>
        <w:widowControl/>
        <w:jc w:val="center"/>
        <w:outlineLvl w:val="3"/>
        <w:rPr>
          <w:rFonts w:ascii="仿宋_GB2312" w:hAnsi="Gulim" w:eastAsia="仿宋_GB2312"/>
          <w:kern w:val="0"/>
          <w:sz w:val="28"/>
        </w:rPr>
      </w:pPr>
    </w:p>
    <w:p>
      <w:pPr>
        <w:widowControl/>
        <w:jc w:val="center"/>
        <w:outlineLvl w:val="3"/>
        <w:rPr>
          <w:rFonts w:ascii="仿宋_GB2312" w:hAnsi="Gulim" w:eastAsia="仿宋_GB2312"/>
          <w:kern w:val="0"/>
          <w:sz w:val="28"/>
        </w:rPr>
      </w:pPr>
    </w:p>
    <w:p>
      <w:pPr>
        <w:widowControl/>
        <w:jc w:val="center"/>
        <w:outlineLvl w:val="3"/>
        <w:rPr>
          <w:rFonts w:ascii="仿宋_GB2312" w:hAnsi="Gulim" w:eastAsia="仿宋_GB2312"/>
          <w:kern w:val="0"/>
          <w:sz w:val="28"/>
        </w:rPr>
      </w:pPr>
    </w:p>
    <w:p>
      <w:pPr>
        <w:widowControl/>
        <w:jc w:val="center"/>
        <w:outlineLvl w:val="3"/>
        <w:rPr>
          <w:rFonts w:ascii="仿宋_GB2312" w:hAnsi="Gulim" w:eastAsia="仿宋_GB2312"/>
          <w:kern w:val="0"/>
          <w:sz w:val="28"/>
        </w:rPr>
      </w:pPr>
    </w:p>
    <w:p>
      <w:pPr>
        <w:widowControl/>
        <w:jc w:val="center"/>
        <w:outlineLvl w:val="3"/>
        <w:rPr>
          <w:rFonts w:ascii="仿宋_GB2312" w:hAnsi="Gulim" w:eastAsia="仿宋_GB2312"/>
          <w:kern w:val="0"/>
          <w:sz w:val="28"/>
        </w:rPr>
      </w:pPr>
    </w:p>
    <w:p>
      <w:pPr>
        <w:widowControl/>
        <w:ind w:left="1484" w:hanging="1484" w:hangingChars="528"/>
        <w:outlineLvl w:val="3"/>
        <w:rPr>
          <w:rFonts w:ascii="宋体"/>
          <w:b/>
          <w:bCs/>
          <w:sz w:val="28"/>
          <w:szCs w:val="28"/>
        </w:rPr>
      </w:pPr>
      <w:r>
        <w:rPr>
          <w:rFonts w:ascii="宋体" w:hAnsi="宋体"/>
          <w:b/>
          <w:kern w:val="0"/>
          <w:sz w:val="28"/>
        </w:rPr>
        <w:t>项目名称</w:t>
      </w:r>
      <w:r>
        <w:rPr>
          <w:rFonts w:ascii="宋体" w:hAnsi="宋体"/>
          <w:b/>
          <w:kern w:val="0"/>
          <w:sz w:val="28"/>
          <w:szCs w:val="28"/>
        </w:rPr>
        <w:t>：</w:t>
      </w:r>
      <w:r>
        <w:rPr>
          <w:rFonts w:hint="eastAsia"/>
          <w:b/>
          <w:bCs/>
          <w:sz w:val="28"/>
          <w:szCs w:val="28"/>
          <w:lang w:val="en-US" w:eastAsia="zh-CN"/>
        </w:rPr>
        <w:t>余码峡港河治理项目</w:t>
      </w:r>
    </w:p>
    <w:p>
      <w:pPr>
        <w:widowControl/>
        <w:tabs>
          <w:tab w:val="left" w:pos="1620"/>
        </w:tabs>
        <w:spacing w:before="120" w:beforeLines="50" w:line="540" w:lineRule="exact"/>
        <w:outlineLvl w:val="3"/>
        <w:rPr>
          <w:rFonts w:hint="eastAsia" w:ascii="宋体" w:eastAsiaTheme="minorEastAsia"/>
          <w:b/>
          <w:kern w:val="0"/>
          <w:sz w:val="28"/>
          <w:lang w:eastAsia="zh-CN"/>
        </w:rPr>
      </w:pPr>
      <w:r>
        <w:rPr>
          <w:rFonts w:ascii="宋体" w:hAnsi="宋体"/>
          <w:b/>
          <w:kern w:val="0"/>
          <w:sz w:val="28"/>
        </w:rPr>
        <w:t>项目建设单位：</w:t>
      </w:r>
      <w:r>
        <w:rPr>
          <w:rFonts w:hint="eastAsia" w:ascii="宋体" w:hAnsi="宋体"/>
          <w:b/>
          <w:sz w:val="28"/>
          <w:lang w:eastAsia="zh-CN"/>
        </w:rPr>
        <w:t>嘉鱼县中小河流治理工程建设管理办公室</w:t>
      </w:r>
    </w:p>
    <w:p>
      <w:pPr>
        <w:widowControl/>
        <w:spacing w:before="120" w:beforeLines="50" w:line="540" w:lineRule="exact"/>
        <w:outlineLvl w:val="3"/>
        <w:rPr>
          <w:rFonts w:hint="eastAsia" w:ascii="宋体" w:eastAsiaTheme="minorEastAsia"/>
          <w:b/>
          <w:kern w:val="0"/>
          <w:sz w:val="28"/>
          <w:lang w:eastAsia="zh-CN"/>
        </w:rPr>
      </w:pPr>
      <w:r>
        <w:rPr>
          <w:rFonts w:ascii="宋体" w:hAnsi="宋体"/>
          <w:b/>
          <w:kern w:val="0"/>
          <w:sz w:val="28"/>
        </w:rPr>
        <w:t>项目主管单位：</w:t>
      </w:r>
      <w:r>
        <w:rPr>
          <w:rFonts w:hint="eastAsia" w:ascii="宋体" w:hAnsi="宋体"/>
          <w:b/>
          <w:kern w:val="0"/>
          <w:sz w:val="28"/>
          <w:lang w:eastAsia="zh-CN"/>
        </w:rPr>
        <w:t>嘉鱼县水利局</w:t>
      </w:r>
    </w:p>
    <w:p>
      <w:pPr>
        <w:widowControl/>
        <w:spacing w:before="120" w:beforeLines="50" w:line="540" w:lineRule="exact"/>
        <w:outlineLvl w:val="3"/>
        <w:rPr>
          <w:rFonts w:ascii="宋体"/>
          <w:b/>
          <w:kern w:val="0"/>
          <w:sz w:val="28"/>
        </w:rPr>
      </w:pPr>
      <w:r>
        <w:rPr>
          <w:rFonts w:ascii="宋体" w:hAnsi="宋体"/>
          <w:b/>
          <w:kern w:val="0"/>
          <w:sz w:val="28"/>
        </w:rPr>
        <w:t>绩效评价委托单位：</w:t>
      </w:r>
      <w:r>
        <w:rPr>
          <w:rFonts w:hint="eastAsia" w:ascii="宋体" w:hAnsi="宋体"/>
          <w:b/>
          <w:kern w:val="0"/>
          <w:sz w:val="28"/>
          <w:lang w:eastAsia="zh-CN"/>
        </w:rPr>
        <w:t>嘉鱼</w:t>
      </w:r>
      <w:r>
        <w:rPr>
          <w:rFonts w:ascii="宋体" w:hAnsi="宋体"/>
          <w:b/>
          <w:kern w:val="0"/>
          <w:sz w:val="28"/>
        </w:rPr>
        <w:t>县财政局</w:t>
      </w:r>
    </w:p>
    <w:p>
      <w:pPr>
        <w:widowControl/>
        <w:tabs>
          <w:tab w:val="left" w:pos="1670"/>
        </w:tabs>
        <w:spacing w:before="120" w:beforeLines="50" w:line="540" w:lineRule="exact"/>
        <w:outlineLvl w:val="3"/>
        <w:rPr>
          <w:rFonts w:ascii="宋体"/>
          <w:b/>
          <w:kern w:val="0"/>
          <w:sz w:val="28"/>
        </w:rPr>
      </w:pPr>
      <w:r>
        <w:rPr>
          <w:rFonts w:ascii="宋体" w:hAnsi="宋体"/>
          <w:b/>
          <w:kern w:val="0"/>
          <w:sz w:val="28"/>
        </w:rPr>
        <w:t>受托评价机构：</w:t>
      </w:r>
      <w:r>
        <w:rPr>
          <w:rFonts w:hint="eastAsia" w:ascii="宋体" w:hAnsi="宋体"/>
          <w:b/>
          <w:kern w:val="0"/>
          <w:sz w:val="28"/>
          <w:lang w:eastAsia="zh-CN"/>
        </w:rPr>
        <w:t>湖北</w:t>
      </w:r>
      <w:r>
        <w:rPr>
          <w:rFonts w:ascii="宋体" w:hAnsi="宋体"/>
          <w:b/>
          <w:kern w:val="0"/>
          <w:sz w:val="28"/>
        </w:rPr>
        <w:t>同业会计师事务有限公司</w:t>
      </w:r>
    </w:p>
    <w:p>
      <w:pPr>
        <w:widowControl/>
        <w:tabs>
          <w:tab w:val="left" w:pos="1670"/>
        </w:tabs>
        <w:spacing w:before="120" w:beforeLines="50" w:line="540" w:lineRule="exact"/>
        <w:jc w:val="center"/>
        <w:outlineLvl w:val="3"/>
        <w:rPr>
          <w:rFonts w:ascii="宋体" w:hAnsi="宋体"/>
          <w:b/>
          <w:kern w:val="0"/>
          <w:sz w:val="28"/>
        </w:rPr>
      </w:pPr>
      <w:r>
        <w:rPr>
          <w:rFonts w:ascii="宋体" w:hAnsi="宋体"/>
          <w:b/>
          <w:kern w:val="0"/>
          <w:sz w:val="28"/>
        </w:rPr>
        <w:t xml:space="preserve">                              </w:t>
      </w:r>
    </w:p>
    <w:p>
      <w:pPr>
        <w:widowControl/>
        <w:tabs>
          <w:tab w:val="left" w:pos="1670"/>
        </w:tabs>
        <w:spacing w:before="120" w:beforeLines="50" w:line="540" w:lineRule="exact"/>
        <w:jc w:val="center"/>
        <w:outlineLvl w:val="3"/>
        <w:rPr>
          <w:rFonts w:ascii="宋体" w:hAnsi="宋体"/>
          <w:b/>
          <w:kern w:val="0"/>
          <w:sz w:val="28"/>
        </w:rPr>
      </w:pPr>
    </w:p>
    <w:p>
      <w:pPr>
        <w:widowControl/>
        <w:tabs>
          <w:tab w:val="left" w:pos="1670"/>
        </w:tabs>
        <w:spacing w:before="120" w:beforeLines="50" w:line="540" w:lineRule="exact"/>
        <w:jc w:val="center"/>
        <w:outlineLvl w:val="3"/>
        <w:rPr>
          <w:rFonts w:ascii="宋体" w:hAnsi="宋体"/>
          <w:b/>
          <w:kern w:val="0"/>
          <w:sz w:val="28"/>
        </w:rPr>
      </w:pPr>
    </w:p>
    <w:p>
      <w:pPr>
        <w:widowControl/>
        <w:tabs>
          <w:tab w:val="left" w:pos="1670"/>
        </w:tabs>
        <w:spacing w:before="120" w:beforeLines="50" w:line="540" w:lineRule="exact"/>
        <w:jc w:val="center"/>
        <w:outlineLvl w:val="3"/>
        <w:rPr>
          <w:rFonts w:ascii="宋体"/>
          <w:b/>
          <w:kern w:val="0"/>
          <w:sz w:val="28"/>
        </w:rPr>
      </w:pPr>
      <w:r>
        <w:rPr>
          <w:rFonts w:ascii="宋体" w:hAnsi="宋体"/>
          <w:b/>
          <w:kern w:val="0"/>
          <w:sz w:val="28"/>
        </w:rPr>
        <w:t xml:space="preserve">                            二0一</w:t>
      </w:r>
      <w:r>
        <w:rPr>
          <w:rFonts w:hint="eastAsia" w:ascii="宋体" w:hAnsi="宋体"/>
          <w:b/>
          <w:kern w:val="0"/>
          <w:sz w:val="28"/>
          <w:lang w:eastAsia="zh-CN"/>
        </w:rPr>
        <w:t>九</w:t>
      </w:r>
      <w:r>
        <w:rPr>
          <w:rFonts w:ascii="宋体" w:hAnsi="宋体"/>
          <w:b/>
          <w:kern w:val="0"/>
          <w:sz w:val="28"/>
        </w:rPr>
        <w:t>年</w:t>
      </w:r>
      <w:r>
        <w:rPr>
          <w:rFonts w:hint="eastAsia" w:ascii="宋体" w:hAnsi="宋体"/>
          <w:b/>
          <w:kern w:val="0"/>
          <w:sz w:val="28"/>
          <w:lang w:eastAsia="zh-CN"/>
        </w:rPr>
        <w:t>九</w:t>
      </w:r>
      <w:r>
        <w:rPr>
          <w:rFonts w:ascii="宋体" w:hAnsi="宋体"/>
          <w:b/>
          <w:kern w:val="0"/>
          <w:sz w:val="28"/>
        </w:rPr>
        <w:t>月</w:t>
      </w:r>
      <w:r>
        <w:rPr>
          <w:rFonts w:hint="eastAsia" w:ascii="宋体" w:hAnsi="宋体"/>
          <w:b/>
          <w:kern w:val="0"/>
          <w:sz w:val="28"/>
          <w:lang w:eastAsia="zh-CN"/>
        </w:rPr>
        <w:t>二</w:t>
      </w:r>
      <w:r>
        <w:rPr>
          <w:rFonts w:ascii="宋体" w:hAnsi="宋体"/>
          <w:b/>
          <w:kern w:val="0"/>
          <w:sz w:val="28"/>
        </w:rPr>
        <w:t>日</w:t>
      </w:r>
    </w:p>
    <w:p>
      <w:pPr>
        <w:rPr>
          <w:rFonts w:hint="eastAsia"/>
          <w:b/>
          <w:bCs/>
          <w:sz w:val="32"/>
          <w:szCs w:val="32"/>
          <w:lang w:val="en-US" w:eastAsia="zh-CN"/>
        </w:rPr>
      </w:pPr>
      <w:r>
        <w:rPr>
          <w:rFonts w:hint="eastAsia"/>
          <w:b/>
          <w:bCs/>
          <w:sz w:val="32"/>
          <w:szCs w:val="32"/>
          <w:lang w:val="en-US" w:eastAsia="zh-CN"/>
        </w:rPr>
        <w:br w:type="page"/>
      </w:r>
    </w:p>
    <w:sdt>
      <w:sdtPr>
        <w:rPr>
          <w:rFonts w:ascii="宋体" w:hAnsi="宋体" w:eastAsia="宋体" w:cstheme="minorBidi"/>
          <w:kern w:val="2"/>
          <w:sz w:val="21"/>
          <w:szCs w:val="24"/>
          <w:lang w:val="en-US" w:eastAsia="zh-CN" w:bidi="ar-SA"/>
        </w:rPr>
        <w:id w:val="147483216"/>
        <w15:color w:val="DBDBDB"/>
        <w:docPartObj>
          <w:docPartGallery w:val="Table of Contents"/>
          <w:docPartUnique/>
        </w:docPartObj>
      </w:sdtPr>
      <w:sdtEndPr>
        <w:rPr>
          <w:rFonts w:ascii="宋体" w:hAnsi="宋体" w:eastAsia="宋体" w:cstheme="minorBidi"/>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r>
            <w:rPr>
              <w:rFonts w:ascii="宋体" w:hAnsi="宋体" w:eastAsia="宋体"/>
              <w:sz w:val="44"/>
              <w:szCs w:val="44"/>
            </w:rPr>
            <w:t>目</w:t>
          </w:r>
          <w:r>
            <w:rPr>
              <w:rFonts w:hint="eastAsia" w:ascii="宋体" w:hAnsi="宋体" w:eastAsia="宋体"/>
              <w:sz w:val="44"/>
              <w:szCs w:val="44"/>
              <w:lang w:val="en-US" w:eastAsia="zh-CN"/>
            </w:rPr>
            <w:t xml:space="preserve">  </w:t>
          </w:r>
          <w:r>
            <w:rPr>
              <w:rFonts w:ascii="宋体" w:hAnsi="宋体" w:eastAsia="宋体"/>
              <w:sz w:val="44"/>
              <w:szCs w:val="44"/>
            </w:rPr>
            <w:t>录</w:t>
          </w:r>
        </w:p>
        <w:p>
          <w:pPr>
            <w:pStyle w:val="8"/>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TOC \o "1-3" \h \u </w:instrText>
          </w:r>
          <w:r>
            <w:rPr>
              <w:sz w:val="24"/>
              <w:szCs w:val="24"/>
            </w:rPr>
            <w:fldChar w:fldCharType="separate"/>
          </w:r>
          <w:r>
            <w:rPr>
              <w:sz w:val="24"/>
              <w:szCs w:val="24"/>
            </w:rPr>
            <w:fldChar w:fldCharType="begin"/>
          </w:r>
          <w:r>
            <w:rPr>
              <w:sz w:val="24"/>
              <w:szCs w:val="24"/>
            </w:rPr>
            <w:instrText xml:space="preserve"> HYPERLINK \l _Toc7877 </w:instrText>
          </w:r>
          <w:r>
            <w:rPr>
              <w:sz w:val="24"/>
              <w:szCs w:val="24"/>
            </w:rPr>
            <w:fldChar w:fldCharType="separate"/>
          </w:r>
          <w:r>
            <w:rPr>
              <w:rFonts w:hint="eastAsia"/>
              <w:sz w:val="24"/>
              <w:szCs w:val="24"/>
              <w:lang w:val="en-US" w:eastAsia="zh-CN"/>
            </w:rPr>
            <w:t>摘  要</w:t>
          </w:r>
          <w:r>
            <w:rPr>
              <w:sz w:val="24"/>
              <w:szCs w:val="24"/>
            </w:rPr>
            <w:tab/>
          </w:r>
          <w:r>
            <w:rPr>
              <w:sz w:val="24"/>
              <w:szCs w:val="24"/>
            </w:rPr>
            <w:fldChar w:fldCharType="begin"/>
          </w:r>
          <w:r>
            <w:rPr>
              <w:sz w:val="24"/>
              <w:szCs w:val="24"/>
            </w:rPr>
            <w:instrText xml:space="preserve"> PAGEREF _Toc7877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9"/>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_Toc608 </w:instrText>
          </w:r>
          <w:r>
            <w:rPr>
              <w:sz w:val="24"/>
              <w:szCs w:val="24"/>
            </w:rPr>
            <w:fldChar w:fldCharType="separate"/>
          </w:r>
          <w:r>
            <w:rPr>
              <w:rFonts w:hint="eastAsia"/>
              <w:sz w:val="24"/>
              <w:szCs w:val="24"/>
              <w:lang w:val="en-US" w:eastAsia="zh-CN"/>
            </w:rPr>
            <w:t>（一）绩效评价结论</w:t>
          </w:r>
          <w:r>
            <w:rPr>
              <w:sz w:val="24"/>
              <w:szCs w:val="24"/>
            </w:rPr>
            <w:tab/>
          </w:r>
          <w:r>
            <w:rPr>
              <w:sz w:val="24"/>
              <w:szCs w:val="24"/>
            </w:rPr>
            <w:fldChar w:fldCharType="begin"/>
          </w:r>
          <w:r>
            <w:rPr>
              <w:sz w:val="24"/>
              <w:szCs w:val="24"/>
            </w:rPr>
            <w:instrText xml:space="preserve"> PAGEREF _Toc608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9"/>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_Toc13180 </w:instrText>
          </w:r>
          <w:r>
            <w:rPr>
              <w:sz w:val="24"/>
              <w:szCs w:val="24"/>
            </w:rPr>
            <w:fldChar w:fldCharType="separate"/>
          </w:r>
          <w:r>
            <w:rPr>
              <w:rFonts w:hint="eastAsia"/>
              <w:sz w:val="24"/>
              <w:szCs w:val="24"/>
              <w:lang w:val="en-US" w:eastAsia="zh-CN"/>
            </w:rPr>
            <w:t>（二）项目基本情况</w:t>
          </w:r>
          <w:r>
            <w:rPr>
              <w:sz w:val="24"/>
              <w:szCs w:val="24"/>
            </w:rPr>
            <w:tab/>
          </w:r>
          <w:r>
            <w:rPr>
              <w:sz w:val="24"/>
              <w:szCs w:val="24"/>
            </w:rPr>
            <w:fldChar w:fldCharType="begin"/>
          </w:r>
          <w:r>
            <w:rPr>
              <w:sz w:val="24"/>
              <w:szCs w:val="24"/>
            </w:rPr>
            <w:instrText xml:space="preserve"> PAGEREF _Toc13180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_Toc6156 </w:instrText>
          </w:r>
          <w:r>
            <w:rPr>
              <w:sz w:val="24"/>
              <w:szCs w:val="24"/>
            </w:rPr>
            <w:fldChar w:fldCharType="separate"/>
          </w:r>
          <w:r>
            <w:rPr>
              <w:rFonts w:hint="eastAsia"/>
              <w:sz w:val="24"/>
              <w:szCs w:val="24"/>
              <w:lang w:val="en-US" w:eastAsia="zh-CN"/>
            </w:rPr>
            <w:t>1、项目概况</w:t>
          </w:r>
          <w:r>
            <w:rPr>
              <w:sz w:val="24"/>
              <w:szCs w:val="24"/>
            </w:rPr>
            <w:tab/>
          </w:r>
          <w:r>
            <w:rPr>
              <w:sz w:val="24"/>
              <w:szCs w:val="24"/>
            </w:rPr>
            <w:fldChar w:fldCharType="begin"/>
          </w:r>
          <w:r>
            <w:rPr>
              <w:sz w:val="24"/>
              <w:szCs w:val="24"/>
            </w:rPr>
            <w:instrText xml:space="preserve"> PAGEREF _Toc6156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_Toc8099 </w:instrText>
          </w:r>
          <w:r>
            <w:rPr>
              <w:sz w:val="24"/>
              <w:szCs w:val="24"/>
            </w:rPr>
            <w:fldChar w:fldCharType="separate"/>
          </w:r>
          <w:r>
            <w:rPr>
              <w:rFonts w:hint="eastAsia"/>
              <w:sz w:val="24"/>
              <w:szCs w:val="24"/>
              <w:lang w:val="en-US" w:eastAsia="zh-CN"/>
            </w:rPr>
            <w:t>2、绩效评价工作基本情况</w:t>
          </w:r>
          <w:r>
            <w:rPr>
              <w:sz w:val="24"/>
              <w:szCs w:val="24"/>
            </w:rPr>
            <w:tab/>
          </w:r>
          <w:r>
            <w:rPr>
              <w:sz w:val="24"/>
              <w:szCs w:val="24"/>
            </w:rPr>
            <w:fldChar w:fldCharType="begin"/>
          </w:r>
          <w:r>
            <w:rPr>
              <w:sz w:val="24"/>
              <w:szCs w:val="24"/>
            </w:rPr>
            <w:instrText xml:space="preserve"> PAGEREF _Toc8099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9"/>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sz w:val="24"/>
              <w:szCs w:val="24"/>
            </w:rPr>
            <w:fldChar w:fldCharType="begin"/>
          </w:r>
          <w:r>
            <w:rPr>
              <w:sz w:val="24"/>
              <w:szCs w:val="24"/>
            </w:rPr>
            <w:instrText xml:space="preserve"> HYPERLINK \l _Toc21046 </w:instrText>
          </w:r>
          <w:r>
            <w:rPr>
              <w:sz w:val="24"/>
              <w:szCs w:val="24"/>
            </w:rPr>
            <w:fldChar w:fldCharType="separate"/>
          </w:r>
          <w:r>
            <w:rPr>
              <w:rFonts w:hint="eastAsia"/>
              <w:sz w:val="24"/>
              <w:szCs w:val="24"/>
              <w:lang w:eastAsia="zh-CN"/>
            </w:rPr>
            <w:t>（三）绩效分析</w:t>
          </w:r>
          <w:r>
            <w:rPr>
              <w:sz w:val="24"/>
              <w:szCs w:val="24"/>
            </w:rPr>
            <w:tab/>
          </w:r>
          <w:r>
            <w:rPr>
              <w:sz w:val="24"/>
              <w:szCs w:val="24"/>
            </w:rPr>
            <w:fldChar w:fldCharType="begin"/>
          </w:r>
          <w:r>
            <w:rPr>
              <w:sz w:val="24"/>
              <w:szCs w:val="24"/>
            </w:rPr>
            <w:instrText xml:space="preserve"> PAGEREF _Toc21046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_Toc25321 </w:instrText>
          </w:r>
          <w:r>
            <w:rPr>
              <w:sz w:val="24"/>
              <w:szCs w:val="24"/>
            </w:rPr>
            <w:fldChar w:fldCharType="separate"/>
          </w:r>
          <w:r>
            <w:rPr>
              <w:rFonts w:hint="eastAsia"/>
              <w:sz w:val="24"/>
              <w:szCs w:val="24"/>
              <w:lang w:val="en-US" w:eastAsia="zh-CN"/>
            </w:rPr>
            <w:t>1、项目成效</w:t>
          </w:r>
          <w:r>
            <w:rPr>
              <w:sz w:val="24"/>
              <w:szCs w:val="24"/>
            </w:rPr>
            <w:tab/>
          </w:r>
          <w:r>
            <w:rPr>
              <w:sz w:val="24"/>
              <w:szCs w:val="24"/>
            </w:rPr>
            <w:fldChar w:fldCharType="begin"/>
          </w:r>
          <w:r>
            <w:rPr>
              <w:sz w:val="24"/>
              <w:szCs w:val="24"/>
            </w:rPr>
            <w:instrText xml:space="preserve"> PAGEREF _Toc25321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_Toc27195 </w:instrText>
          </w:r>
          <w:r>
            <w:rPr>
              <w:sz w:val="24"/>
              <w:szCs w:val="24"/>
            </w:rPr>
            <w:fldChar w:fldCharType="separate"/>
          </w:r>
          <w:r>
            <w:rPr>
              <w:rFonts w:hint="eastAsia"/>
              <w:sz w:val="24"/>
              <w:szCs w:val="24"/>
              <w:lang w:val="en-US" w:eastAsia="zh-CN"/>
            </w:rPr>
            <w:t>2、存在的主要问题</w:t>
          </w:r>
          <w:r>
            <w:rPr>
              <w:sz w:val="24"/>
              <w:szCs w:val="24"/>
            </w:rPr>
            <w:tab/>
          </w:r>
          <w:r>
            <w:rPr>
              <w:sz w:val="24"/>
              <w:szCs w:val="24"/>
            </w:rPr>
            <w:fldChar w:fldCharType="begin"/>
          </w:r>
          <w:r>
            <w:rPr>
              <w:sz w:val="24"/>
              <w:szCs w:val="24"/>
            </w:rPr>
            <w:instrText xml:space="preserve"> PAGEREF _Toc27195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9"/>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_Toc20473 </w:instrText>
          </w:r>
          <w:r>
            <w:rPr>
              <w:sz w:val="24"/>
              <w:szCs w:val="24"/>
            </w:rPr>
            <w:fldChar w:fldCharType="separate"/>
          </w:r>
          <w:r>
            <w:rPr>
              <w:rFonts w:hint="eastAsia"/>
              <w:sz w:val="24"/>
              <w:szCs w:val="24"/>
              <w:lang w:val="en-US" w:eastAsia="zh-CN"/>
            </w:rPr>
            <w:t>（四）工作建议</w:t>
          </w:r>
          <w:r>
            <w:rPr>
              <w:sz w:val="24"/>
              <w:szCs w:val="24"/>
            </w:rPr>
            <w:tab/>
          </w:r>
          <w:r>
            <w:rPr>
              <w:sz w:val="24"/>
              <w:szCs w:val="24"/>
            </w:rPr>
            <w:fldChar w:fldCharType="begin"/>
          </w:r>
          <w:r>
            <w:rPr>
              <w:sz w:val="24"/>
              <w:szCs w:val="24"/>
            </w:rPr>
            <w:instrText xml:space="preserve"> PAGEREF _Toc20473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8"/>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_Toc29649 </w:instrText>
          </w:r>
          <w:r>
            <w:rPr>
              <w:sz w:val="24"/>
              <w:szCs w:val="24"/>
            </w:rPr>
            <w:fldChar w:fldCharType="separate"/>
          </w:r>
          <w:r>
            <w:rPr>
              <w:rFonts w:hint="eastAsia"/>
              <w:sz w:val="24"/>
              <w:szCs w:val="24"/>
              <w:lang w:val="en-US" w:eastAsia="zh-CN"/>
            </w:rPr>
            <w:t>正  文</w:t>
          </w:r>
          <w:r>
            <w:rPr>
              <w:sz w:val="24"/>
              <w:szCs w:val="24"/>
            </w:rPr>
            <w:tab/>
          </w:r>
          <w:r>
            <w:rPr>
              <w:sz w:val="24"/>
              <w:szCs w:val="24"/>
            </w:rPr>
            <w:fldChar w:fldCharType="begin"/>
          </w:r>
          <w:r>
            <w:rPr>
              <w:sz w:val="24"/>
              <w:szCs w:val="24"/>
            </w:rPr>
            <w:instrText xml:space="preserve"> PAGEREF _Toc29649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9"/>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_Toc28801 </w:instrText>
          </w:r>
          <w:r>
            <w:rPr>
              <w:sz w:val="24"/>
              <w:szCs w:val="24"/>
            </w:rPr>
            <w:fldChar w:fldCharType="separate"/>
          </w:r>
          <w:r>
            <w:rPr>
              <w:rFonts w:hint="eastAsia"/>
              <w:sz w:val="24"/>
              <w:szCs w:val="24"/>
              <w:lang w:val="en-US" w:eastAsia="zh-CN"/>
            </w:rPr>
            <w:t>一、 基本情况</w:t>
          </w:r>
          <w:r>
            <w:rPr>
              <w:sz w:val="24"/>
              <w:szCs w:val="24"/>
            </w:rPr>
            <w:tab/>
          </w:r>
          <w:r>
            <w:rPr>
              <w:sz w:val="24"/>
              <w:szCs w:val="24"/>
            </w:rPr>
            <w:fldChar w:fldCharType="begin"/>
          </w:r>
          <w:r>
            <w:rPr>
              <w:sz w:val="24"/>
              <w:szCs w:val="24"/>
            </w:rPr>
            <w:instrText xml:space="preserve"> PAGEREF _Toc28801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_Toc19324 </w:instrText>
          </w:r>
          <w:r>
            <w:rPr>
              <w:sz w:val="24"/>
              <w:szCs w:val="24"/>
            </w:rPr>
            <w:fldChar w:fldCharType="separate"/>
          </w:r>
          <w:r>
            <w:rPr>
              <w:rFonts w:hint="eastAsia"/>
              <w:sz w:val="24"/>
              <w:szCs w:val="24"/>
              <w:lang w:val="en-US" w:eastAsia="zh-CN"/>
            </w:rPr>
            <w:t>1、 项目立项目的及绩效目标</w:t>
          </w:r>
          <w:r>
            <w:rPr>
              <w:sz w:val="24"/>
              <w:szCs w:val="24"/>
            </w:rPr>
            <w:tab/>
          </w:r>
          <w:r>
            <w:rPr>
              <w:sz w:val="24"/>
              <w:szCs w:val="24"/>
            </w:rPr>
            <w:fldChar w:fldCharType="begin"/>
          </w:r>
          <w:r>
            <w:rPr>
              <w:sz w:val="24"/>
              <w:szCs w:val="24"/>
            </w:rPr>
            <w:instrText xml:space="preserve"> PAGEREF _Toc19324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_Toc27224 </w:instrText>
          </w:r>
          <w:r>
            <w:rPr>
              <w:sz w:val="24"/>
              <w:szCs w:val="24"/>
            </w:rPr>
            <w:fldChar w:fldCharType="separate"/>
          </w:r>
          <w:r>
            <w:rPr>
              <w:rFonts w:hint="eastAsia"/>
              <w:sz w:val="24"/>
              <w:szCs w:val="24"/>
              <w:lang w:val="en-US" w:eastAsia="zh-CN"/>
            </w:rPr>
            <w:t>2、 项目资金情况：</w:t>
          </w:r>
          <w:r>
            <w:rPr>
              <w:sz w:val="24"/>
              <w:szCs w:val="24"/>
            </w:rPr>
            <w:tab/>
          </w:r>
          <w:r>
            <w:rPr>
              <w:sz w:val="24"/>
              <w:szCs w:val="24"/>
            </w:rPr>
            <w:fldChar w:fldCharType="begin"/>
          </w:r>
          <w:r>
            <w:rPr>
              <w:sz w:val="24"/>
              <w:szCs w:val="24"/>
            </w:rPr>
            <w:instrText xml:space="preserve"> PAGEREF _Toc27224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9"/>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_Toc21903 </w:instrText>
          </w:r>
          <w:r>
            <w:rPr>
              <w:sz w:val="24"/>
              <w:szCs w:val="24"/>
            </w:rPr>
            <w:fldChar w:fldCharType="separate"/>
          </w:r>
          <w:r>
            <w:rPr>
              <w:rFonts w:hint="eastAsia"/>
              <w:sz w:val="24"/>
              <w:szCs w:val="24"/>
              <w:lang w:val="en-US" w:eastAsia="zh-CN"/>
            </w:rPr>
            <w:t>二、 绩效评价工作开展情况</w:t>
          </w:r>
          <w:r>
            <w:rPr>
              <w:sz w:val="24"/>
              <w:szCs w:val="24"/>
            </w:rPr>
            <w:tab/>
          </w:r>
          <w:r>
            <w:rPr>
              <w:sz w:val="24"/>
              <w:szCs w:val="24"/>
            </w:rPr>
            <w:fldChar w:fldCharType="begin"/>
          </w:r>
          <w:r>
            <w:rPr>
              <w:sz w:val="24"/>
              <w:szCs w:val="24"/>
            </w:rPr>
            <w:instrText xml:space="preserve"> PAGEREF _Toc21903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_Toc30455 </w:instrText>
          </w:r>
          <w:r>
            <w:rPr>
              <w:sz w:val="24"/>
              <w:szCs w:val="24"/>
            </w:rPr>
            <w:fldChar w:fldCharType="separate"/>
          </w:r>
          <w:r>
            <w:rPr>
              <w:rFonts w:hint="eastAsia"/>
              <w:sz w:val="24"/>
              <w:szCs w:val="24"/>
              <w:lang w:val="en-US" w:eastAsia="zh-CN"/>
            </w:rPr>
            <w:t>1、评价目的</w:t>
          </w:r>
          <w:r>
            <w:rPr>
              <w:sz w:val="24"/>
              <w:szCs w:val="24"/>
            </w:rPr>
            <w:tab/>
          </w:r>
          <w:r>
            <w:rPr>
              <w:sz w:val="24"/>
              <w:szCs w:val="24"/>
            </w:rPr>
            <w:fldChar w:fldCharType="begin"/>
          </w:r>
          <w:r>
            <w:rPr>
              <w:sz w:val="24"/>
              <w:szCs w:val="24"/>
            </w:rPr>
            <w:instrText xml:space="preserve"> PAGEREF _Toc30455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_Toc31304 </w:instrText>
          </w:r>
          <w:r>
            <w:rPr>
              <w:sz w:val="24"/>
              <w:szCs w:val="24"/>
            </w:rPr>
            <w:fldChar w:fldCharType="separate"/>
          </w:r>
          <w:r>
            <w:rPr>
              <w:rFonts w:hint="eastAsia"/>
              <w:sz w:val="24"/>
              <w:szCs w:val="24"/>
              <w:lang w:val="en-US" w:eastAsia="zh-CN"/>
            </w:rPr>
            <w:t>2、评价抽样情况概述</w:t>
          </w:r>
          <w:r>
            <w:rPr>
              <w:sz w:val="24"/>
              <w:szCs w:val="24"/>
            </w:rPr>
            <w:tab/>
          </w:r>
          <w:r>
            <w:rPr>
              <w:sz w:val="24"/>
              <w:szCs w:val="24"/>
            </w:rPr>
            <w:fldChar w:fldCharType="begin"/>
          </w:r>
          <w:r>
            <w:rPr>
              <w:sz w:val="24"/>
              <w:szCs w:val="24"/>
            </w:rPr>
            <w:instrText xml:space="preserve"> PAGEREF _Toc31304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9"/>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_Toc18341 </w:instrText>
          </w:r>
          <w:r>
            <w:rPr>
              <w:sz w:val="24"/>
              <w:szCs w:val="24"/>
            </w:rPr>
            <w:fldChar w:fldCharType="separate"/>
          </w:r>
          <w:r>
            <w:rPr>
              <w:rFonts w:hint="eastAsia"/>
              <w:sz w:val="24"/>
              <w:szCs w:val="24"/>
              <w:lang w:val="en-US" w:eastAsia="zh-CN"/>
            </w:rPr>
            <w:t>三、 绩效指标完成情况分析</w:t>
          </w:r>
          <w:r>
            <w:rPr>
              <w:sz w:val="24"/>
              <w:szCs w:val="24"/>
            </w:rPr>
            <w:tab/>
          </w:r>
          <w:r>
            <w:rPr>
              <w:sz w:val="24"/>
              <w:szCs w:val="24"/>
            </w:rPr>
            <w:fldChar w:fldCharType="begin"/>
          </w:r>
          <w:r>
            <w:rPr>
              <w:sz w:val="24"/>
              <w:szCs w:val="24"/>
            </w:rPr>
            <w:instrText xml:space="preserve"> PAGEREF _Toc18341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_Toc28624 </w:instrText>
          </w:r>
          <w:r>
            <w:rPr>
              <w:sz w:val="24"/>
              <w:szCs w:val="24"/>
            </w:rPr>
            <w:fldChar w:fldCharType="separate"/>
          </w:r>
          <w:r>
            <w:rPr>
              <w:rFonts w:hint="eastAsia"/>
              <w:sz w:val="24"/>
              <w:szCs w:val="24"/>
              <w:lang w:val="en-US" w:eastAsia="zh-CN"/>
            </w:rPr>
            <w:t>1、 项目资金情况分析：</w:t>
          </w:r>
          <w:r>
            <w:rPr>
              <w:sz w:val="24"/>
              <w:szCs w:val="24"/>
            </w:rPr>
            <w:tab/>
          </w:r>
          <w:r>
            <w:rPr>
              <w:sz w:val="24"/>
              <w:szCs w:val="24"/>
            </w:rPr>
            <w:fldChar w:fldCharType="begin"/>
          </w:r>
          <w:r>
            <w:rPr>
              <w:sz w:val="24"/>
              <w:szCs w:val="24"/>
            </w:rPr>
            <w:instrText xml:space="preserve"> PAGEREF _Toc28624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_Toc17405 </w:instrText>
          </w:r>
          <w:r>
            <w:rPr>
              <w:sz w:val="24"/>
              <w:szCs w:val="24"/>
            </w:rPr>
            <w:fldChar w:fldCharType="separate"/>
          </w:r>
          <w:r>
            <w:rPr>
              <w:rFonts w:hint="eastAsia"/>
              <w:sz w:val="24"/>
              <w:szCs w:val="24"/>
              <w:lang w:val="en-US" w:eastAsia="zh-CN"/>
            </w:rPr>
            <w:t>2、 绩效指标完成情况分析</w:t>
          </w:r>
          <w:r>
            <w:rPr>
              <w:sz w:val="24"/>
              <w:szCs w:val="24"/>
            </w:rPr>
            <w:tab/>
          </w:r>
          <w:r>
            <w:rPr>
              <w:sz w:val="24"/>
              <w:szCs w:val="24"/>
            </w:rPr>
            <w:fldChar w:fldCharType="begin"/>
          </w:r>
          <w:r>
            <w:rPr>
              <w:sz w:val="24"/>
              <w:szCs w:val="24"/>
            </w:rPr>
            <w:instrText xml:space="preserve"> PAGEREF _Toc17405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_Toc10524 </w:instrText>
          </w:r>
          <w:r>
            <w:rPr>
              <w:sz w:val="24"/>
              <w:szCs w:val="24"/>
            </w:rPr>
            <w:fldChar w:fldCharType="separate"/>
          </w:r>
          <w:r>
            <w:rPr>
              <w:rFonts w:hint="default"/>
              <w:sz w:val="24"/>
              <w:szCs w:val="24"/>
              <w:lang w:val="en-US" w:eastAsia="zh-CN"/>
            </w:rPr>
            <w:t xml:space="preserve">3、 </w:t>
          </w:r>
          <w:r>
            <w:rPr>
              <w:rFonts w:hint="eastAsia"/>
              <w:sz w:val="24"/>
              <w:szCs w:val="24"/>
              <w:lang w:val="en-US" w:eastAsia="zh-CN"/>
            </w:rPr>
            <w:t>项目资金情况与绩效指标完成情况相关性分析</w:t>
          </w:r>
          <w:r>
            <w:rPr>
              <w:sz w:val="24"/>
              <w:szCs w:val="24"/>
            </w:rPr>
            <w:tab/>
          </w:r>
          <w:r>
            <w:rPr>
              <w:sz w:val="24"/>
              <w:szCs w:val="24"/>
            </w:rPr>
            <w:fldChar w:fldCharType="begin"/>
          </w:r>
          <w:r>
            <w:rPr>
              <w:sz w:val="24"/>
              <w:szCs w:val="24"/>
            </w:rPr>
            <w:instrText xml:space="preserve"> PAGEREF _Toc10524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9"/>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_Toc15806 </w:instrText>
          </w:r>
          <w:r>
            <w:rPr>
              <w:sz w:val="24"/>
              <w:szCs w:val="24"/>
            </w:rPr>
            <w:fldChar w:fldCharType="separate"/>
          </w:r>
          <w:r>
            <w:rPr>
              <w:rFonts w:hint="eastAsia"/>
              <w:sz w:val="24"/>
              <w:szCs w:val="24"/>
              <w:lang w:val="en-US" w:eastAsia="zh-CN"/>
            </w:rPr>
            <w:t>四、 存在的主要问题及工作建议</w:t>
          </w:r>
          <w:r>
            <w:rPr>
              <w:sz w:val="24"/>
              <w:szCs w:val="24"/>
            </w:rPr>
            <w:tab/>
          </w:r>
          <w:r>
            <w:rPr>
              <w:sz w:val="24"/>
              <w:szCs w:val="24"/>
            </w:rPr>
            <w:fldChar w:fldCharType="begin"/>
          </w:r>
          <w:r>
            <w:rPr>
              <w:sz w:val="24"/>
              <w:szCs w:val="24"/>
            </w:rPr>
            <w:instrText xml:space="preserve"> PAGEREF _Toc15806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_Toc14600 </w:instrText>
          </w:r>
          <w:r>
            <w:rPr>
              <w:sz w:val="24"/>
              <w:szCs w:val="24"/>
            </w:rPr>
            <w:fldChar w:fldCharType="separate"/>
          </w:r>
          <w:r>
            <w:rPr>
              <w:rFonts w:hint="eastAsia"/>
              <w:sz w:val="24"/>
              <w:szCs w:val="24"/>
              <w:lang w:val="en-US" w:eastAsia="zh-CN"/>
            </w:rPr>
            <w:t>1、存在的主要问题</w:t>
          </w:r>
          <w:r>
            <w:rPr>
              <w:sz w:val="24"/>
              <w:szCs w:val="24"/>
            </w:rPr>
            <w:tab/>
          </w:r>
          <w:r>
            <w:rPr>
              <w:sz w:val="24"/>
              <w:szCs w:val="24"/>
            </w:rPr>
            <w:fldChar w:fldCharType="begin"/>
          </w:r>
          <w:r>
            <w:rPr>
              <w:sz w:val="24"/>
              <w:szCs w:val="24"/>
            </w:rPr>
            <w:instrText xml:space="preserve"> PAGEREF _Toc14600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5"/>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_Toc19463 </w:instrText>
          </w:r>
          <w:r>
            <w:rPr>
              <w:sz w:val="24"/>
              <w:szCs w:val="24"/>
            </w:rPr>
            <w:fldChar w:fldCharType="separate"/>
          </w:r>
          <w:r>
            <w:rPr>
              <w:rFonts w:hint="eastAsia"/>
              <w:sz w:val="24"/>
              <w:szCs w:val="24"/>
              <w:lang w:val="en-US" w:eastAsia="zh-CN"/>
            </w:rPr>
            <w:t>2、工作建议</w:t>
          </w:r>
          <w:r>
            <w:rPr>
              <w:sz w:val="24"/>
              <w:szCs w:val="24"/>
            </w:rPr>
            <w:tab/>
          </w:r>
          <w:r>
            <w:rPr>
              <w:sz w:val="24"/>
              <w:szCs w:val="24"/>
            </w:rPr>
            <w:fldChar w:fldCharType="begin"/>
          </w:r>
          <w:r>
            <w:rPr>
              <w:sz w:val="24"/>
              <w:szCs w:val="24"/>
            </w:rPr>
            <w:instrText xml:space="preserve"> PAGEREF _Toc19463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9"/>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_Toc13095 </w:instrText>
          </w:r>
          <w:r>
            <w:rPr>
              <w:sz w:val="24"/>
              <w:szCs w:val="24"/>
            </w:rPr>
            <w:fldChar w:fldCharType="separate"/>
          </w:r>
          <w:r>
            <w:rPr>
              <w:rFonts w:hint="eastAsia"/>
              <w:sz w:val="24"/>
              <w:szCs w:val="24"/>
              <w:lang w:val="en-US" w:eastAsia="zh-CN"/>
            </w:rPr>
            <w:t>五、 其他需要说明的问题</w:t>
          </w:r>
          <w:r>
            <w:rPr>
              <w:sz w:val="24"/>
              <w:szCs w:val="24"/>
            </w:rPr>
            <w:tab/>
          </w:r>
          <w:r>
            <w:rPr>
              <w:sz w:val="24"/>
              <w:szCs w:val="24"/>
            </w:rPr>
            <w:fldChar w:fldCharType="begin"/>
          </w:r>
          <w:r>
            <w:rPr>
              <w:sz w:val="24"/>
              <w:szCs w:val="24"/>
            </w:rPr>
            <w:instrText xml:space="preserve"> PAGEREF _Toc13095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9"/>
            <w:keepNext w:val="0"/>
            <w:keepLines w:val="0"/>
            <w:pageBreakBefore w:val="0"/>
            <w:tabs>
              <w:tab w:val="right" w:leader="dot" w:pos="798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_Toc20832 </w:instrText>
          </w:r>
          <w:r>
            <w:rPr>
              <w:sz w:val="24"/>
              <w:szCs w:val="24"/>
            </w:rPr>
            <w:fldChar w:fldCharType="separate"/>
          </w:r>
          <w:r>
            <w:rPr>
              <w:rFonts w:hint="eastAsia"/>
              <w:sz w:val="24"/>
              <w:szCs w:val="24"/>
              <w:lang w:val="en-US" w:eastAsia="zh-CN"/>
            </w:rPr>
            <w:t>六、附件：</w:t>
          </w:r>
          <w:r>
            <w:rPr>
              <w:sz w:val="24"/>
              <w:szCs w:val="24"/>
            </w:rPr>
            <w:tab/>
          </w:r>
          <w:r>
            <w:rPr>
              <w:sz w:val="24"/>
              <w:szCs w:val="24"/>
            </w:rPr>
            <w:fldChar w:fldCharType="begin"/>
          </w:r>
          <w:r>
            <w:rPr>
              <w:sz w:val="24"/>
              <w:szCs w:val="24"/>
            </w:rPr>
            <w:instrText xml:space="preserve"> PAGEREF _Toc20832 </w:instrText>
          </w:r>
          <w:r>
            <w:rPr>
              <w:sz w:val="24"/>
              <w:szCs w:val="24"/>
            </w:rPr>
            <w:fldChar w:fldCharType="separate"/>
          </w:r>
          <w:r>
            <w:rPr>
              <w:sz w:val="24"/>
              <w:szCs w:val="24"/>
            </w:rPr>
            <w:t>17</w:t>
          </w:r>
          <w:r>
            <w:rPr>
              <w:sz w:val="24"/>
              <w:szCs w:val="24"/>
            </w:rPr>
            <w:fldChar w:fldCharType="end"/>
          </w:r>
          <w:r>
            <w:rPr>
              <w:sz w:val="24"/>
              <w:szCs w:val="24"/>
            </w:rPr>
            <w:fldChar w:fldCharType="end"/>
          </w:r>
        </w:p>
        <w:p>
          <w:pPr>
            <w:keepNext w:val="0"/>
            <w:keepLines w:val="0"/>
            <w:pageBreakBefore w:val="0"/>
            <w:kinsoku/>
            <w:wordWrap/>
            <w:overflowPunct/>
            <w:topLinePunct w:val="0"/>
            <w:autoSpaceDE/>
            <w:autoSpaceDN/>
            <w:bidi w:val="0"/>
            <w:adjustRightInd/>
            <w:snapToGrid/>
            <w:spacing w:line="480" w:lineRule="exact"/>
            <w:textAlignment w:val="auto"/>
            <w:rPr>
              <w:sz w:val="24"/>
              <w:szCs w:val="24"/>
            </w:rPr>
          </w:pPr>
          <w:r>
            <w:rPr>
              <w:sz w:val="24"/>
              <w:szCs w:val="24"/>
            </w:rPr>
            <w:fldChar w:fldCharType="end"/>
          </w:r>
        </w:p>
      </w:sdtContent>
    </w:sdt>
    <w:p>
      <w:pPr>
        <w:pStyle w:val="2"/>
        <w:bidi w:val="0"/>
        <w:jc w:val="center"/>
        <w:rPr>
          <w:rFonts w:hint="eastAsia"/>
          <w:sz w:val="24"/>
          <w:szCs w:val="24"/>
          <w:lang w:val="en-US" w:eastAsia="zh-CN"/>
        </w:rPr>
        <w:sectPr>
          <w:headerReference r:id="rId3" w:type="default"/>
          <w:footerReference r:id="rId4" w:type="default"/>
          <w:pgSz w:w="11906" w:h="16838"/>
          <w:pgMar w:top="1440" w:right="2126" w:bottom="1538" w:left="1800" w:header="851" w:footer="992" w:gutter="0"/>
          <w:pgNumType w:fmt="decimal"/>
          <w:cols w:space="425" w:num="1"/>
          <w:docGrid w:type="lines" w:linePitch="312" w:charSpace="0"/>
        </w:sectPr>
      </w:pPr>
      <w:bookmarkStart w:id="0" w:name="_Toc7877"/>
    </w:p>
    <w:p>
      <w:pPr>
        <w:pStyle w:val="2"/>
        <w:bidi w:val="0"/>
        <w:jc w:val="center"/>
        <w:rPr>
          <w:rFonts w:hint="eastAsia"/>
          <w:lang w:val="en-US" w:eastAsia="zh-CN"/>
        </w:rPr>
      </w:pPr>
      <w:r>
        <w:rPr>
          <w:rFonts w:hint="eastAsia"/>
          <w:lang w:val="en-US" w:eastAsia="zh-CN"/>
        </w:rPr>
        <w:t>摘  要</w:t>
      </w:r>
      <w:bookmarkEnd w:id="0"/>
    </w:p>
    <w:p>
      <w:pPr>
        <w:pStyle w:val="3"/>
        <w:bidi w:val="0"/>
        <w:rPr>
          <w:rFonts w:hint="eastAsia"/>
          <w:sz w:val="28"/>
          <w:szCs w:val="28"/>
          <w:lang w:val="en-US" w:eastAsia="zh-CN"/>
        </w:rPr>
      </w:pPr>
      <w:bookmarkStart w:id="1" w:name="_Toc608"/>
      <w:r>
        <w:rPr>
          <w:rFonts w:hint="eastAsia"/>
          <w:sz w:val="28"/>
          <w:szCs w:val="28"/>
          <w:lang w:val="en-US" w:eastAsia="zh-CN"/>
        </w:rPr>
        <w:t>（一）绩效评价结论:</w:t>
      </w:r>
      <w:bookmarkEnd w:id="1"/>
    </w:p>
    <w:p>
      <w:pPr>
        <w:tabs>
          <w:tab w:val="left" w:pos="625"/>
        </w:tabs>
        <w:autoSpaceDE w:val="0"/>
        <w:autoSpaceDN w:val="0"/>
        <w:adjustRightInd w:val="0"/>
        <w:spacing w:line="540" w:lineRule="exact"/>
        <w:ind w:firstLine="549"/>
        <w:jc w:val="left"/>
        <w:rPr>
          <w:rFonts w:ascii="仿宋_GB2312" w:eastAsia="仿宋_GB2312"/>
          <w:kern w:val="0"/>
          <w:sz w:val="28"/>
          <w:lang w:val="zh-CN"/>
        </w:rPr>
      </w:pPr>
      <w:r>
        <w:rPr>
          <w:rFonts w:ascii="仿宋_GB2312" w:eastAsia="仿宋_GB2312"/>
          <w:kern w:val="0"/>
          <w:sz w:val="28"/>
          <w:lang w:val="zh-CN"/>
        </w:rPr>
        <w:t>根据</w:t>
      </w:r>
      <w:r>
        <w:rPr>
          <w:rFonts w:hint="eastAsia" w:ascii="仿宋_GB2312" w:eastAsia="仿宋_GB2312"/>
          <w:kern w:val="0"/>
          <w:sz w:val="28"/>
          <w:lang w:val="zh-CN"/>
        </w:rPr>
        <w:t>嘉鱼县余码峡港河治理</w:t>
      </w:r>
      <w:r>
        <w:rPr>
          <w:rFonts w:ascii="仿宋_GB2312" w:eastAsia="仿宋_GB2312"/>
          <w:kern w:val="0"/>
          <w:sz w:val="28"/>
          <w:lang w:val="zh-CN"/>
        </w:rPr>
        <w:t>项目绩效评价要求，</w:t>
      </w:r>
      <w:r>
        <w:rPr>
          <w:rFonts w:hint="eastAsia" w:ascii="仿宋_GB2312" w:eastAsia="仿宋_GB2312"/>
          <w:kern w:val="0"/>
          <w:sz w:val="28"/>
          <w:lang w:val="zh-CN"/>
        </w:rPr>
        <w:t>绩效评价小组对该项目</w:t>
      </w:r>
      <w:r>
        <w:rPr>
          <w:rFonts w:ascii="仿宋_GB2312" w:eastAsia="仿宋_GB2312"/>
          <w:kern w:val="0"/>
          <w:sz w:val="28"/>
          <w:lang w:val="zh-CN"/>
        </w:rPr>
        <w:t>从项目前期管理、组织管理水平、施工质量管理、完工验收管理、财务核算管理、绩效分析等几个方面对项目执行情况及绩效情况进行</w:t>
      </w:r>
      <w:r>
        <w:rPr>
          <w:rFonts w:hint="eastAsia" w:ascii="仿宋_GB2312" w:eastAsia="仿宋_GB2312"/>
          <w:kern w:val="0"/>
          <w:sz w:val="28"/>
          <w:lang w:val="zh-CN"/>
        </w:rPr>
        <w:t>了</w:t>
      </w:r>
      <w:r>
        <w:rPr>
          <w:rFonts w:ascii="仿宋_GB2312" w:eastAsia="仿宋_GB2312"/>
          <w:kern w:val="0"/>
          <w:sz w:val="28"/>
          <w:lang w:val="zh-CN"/>
        </w:rPr>
        <w:t>综合分析。</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ascii="仿宋_GB2312" w:eastAsia="仿宋_GB2312"/>
          <w:kern w:val="0"/>
          <w:sz w:val="28"/>
          <w:lang w:val="zh-CN"/>
        </w:rPr>
        <w:t>本次评价</w:t>
      </w:r>
      <w:r>
        <w:rPr>
          <w:rFonts w:hint="eastAsia" w:ascii="仿宋_GB2312" w:eastAsia="仿宋_GB2312"/>
          <w:kern w:val="0"/>
          <w:sz w:val="28"/>
          <w:lang w:val="zh-CN"/>
        </w:rPr>
        <w:t>针对</w:t>
      </w:r>
      <w:r>
        <w:rPr>
          <w:rFonts w:ascii="仿宋_GB2312" w:eastAsia="仿宋_GB2312"/>
          <w:kern w:val="0"/>
          <w:sz w:val="28"/>
          <w:lang w:val="zh-CN"/>
        </w:rPr>
        <w:t>上述六个</w:t>
      </w:r>
      <w:r>
        <w:rPr>
          <w:rFonts w:hint="eastAsia" w:ascii="仿宋_GB2312" w:eastAsia="仿宋_GB2312"/>
          <w:kern w:val="0"/>
          <w:sz w:val="28"/>
          <w:lang w:val="zh-CN"/>
        </w:rPr>
        <w:t>评价重点</w:t>
      </w:r>
      <w:r>
        <w:rPr>
          <w:rFonts w:ascii="仿宋_GB2312" w:eastAsia="仿宋_GB2312"/>
          <w:kern w:val="0"/>
          <w:sz w:val="28"/>
          <w:lang w:val="zh-CN"/>
        </w:rPr>
        <w:t>，</w:t>
      </w:r>
      <w:r>
        <w:rPr>
          <w:rFonts w:ascii="仿宋_GB2312" w:eastAsia="仿宋_GB2312"/>
          <w:sz w:val="28"/>
          <w:lang w:val="zh-CN"/>
        </w:rPr>
        <w:t>采用了</w:t>
      </w:r>
      <w:r>
        <w:rPr>
          <w:rFonts w:ascii="仿宋_GB2312" w:eastAsia="仿宋_GB2312"/>
          <w:kern w:val="0"/>
          <w:sz w:val="28"/>
          <w:lang w:val="zh-CN"/>
        </w:rPr>
        <w:t>4个一级指标、6个二级指标、19个三级</w:t>
      </w:r>
      <w:r>
        <w:rPr>
          <w:rFonts w:ascii="仿宋_GB2312" w:eastAsia="仿宋_GB2312"/>
          <w:sz w:val="28"/>
          <w:lang w:val="zh-CN"/>
        </w:rPr>
        <w:t>指标，</w:t>
      </w:r>
      <w:r>
        <w:rPr>
          <w:rFonts w:hint="eastAsia" w:ascii="仿宋_GB2312" w:eastAsia="仿宋_GB2312"/>
          <w:sz w:val="28"/>
          <w:lang w:val="zh-CN"/>
        </w:rPr>
        <w:t>制定了《嘉鱼县余码峡港河治理项目绩效评价指标体系表》，</w:t>
      </w:r>
      <w:r>
        <w:rPr>
          <w:rFonts w:ascii="仿宋_GB2312" w:eastAsia="仿宋_GB2312"/>
          <w:sz w:val="28"/>
          <w:lang w:val="zh-CN"/>
        </w:rPr>
        <w:t>对</w:t>
      </w:r>
      <w:r>
        <w:rPr>
          <w:rFonts w:hint="eastAsia" w:ascii="仿宋_GB2312" w:eastAsia="仿宋_GB2312"/>
          <w:sz w:val="28"/>
          <w:lang w:val="zh-CN"/>
        </w:rPr>
        <w:t>嘉鱼县余码峡港河治理项目</w:t>
      </w:r>
      <w:r>
        <w:rPr>
          <w:rFonts w:ascii="仿宋_GB2312" w:eastAsia="仿宋_GB2312"/>
          <w:sz w:val="28"/>
          <w:lang w:val="zh-CN"/>
        </w:rPr>
        <w:t>专项资金使用情况</w:t>
      </w:r>
      <w:r>
        <w:rPr>
          <w:rFonts w:hint="eastAsia" w:ascii="仿宋_GB2312" w:eastAsia="仿宋_GB2312"/>
          <w:sz w:val="28"/>
          <w:lang w:val="zh-CN"/>
        </w:rPr>
        <w:t>、项目建设情况及产生的效益</w:t>
      </w:r>
      <w:r>
        <w:rPr>
          <w:rFonts w:ascii="仿宋_GB2312" w:eastAsia="仿宋_GB2312"/>
          <w:sz w:val="28"/>
          <w:lang w:val="zh-CN"/>
        </w:rPr>
        <w:t>进行了综合量化</w:t>
      </w:r>
      <w:r>
        <w:rPr>
          <w:rFonts w:hint="eastAsia" w:ascii="仿宋_GB2312" w:eastAsia="仿宋_GB2312"/>
          <w:sz w:val="28"/>
          <w:lang w:val="zh-CN"/>
        </w:rPr>
        <w:t>绩效</w:t>
      </w:r>
      <w:r>
        <w:rPr>
          <w:rFonts w:ascii="仿宋_GB2312" w:eastAsia="仿宋_GB2312"/>
          <w:sz w:val="28"/>
          <w:lang w:val="zh-CN"/>
        </w:rPr>
        <w:t>评价</w:t>
      </w:r>
      <w:r>
        <w:rPr>
          <w:rFonts w:hint="eastAsia" w:ascii="仿宋_GB2312" w:eastAsia="仿宋_GB2312"/>
          <w:sz w:val="28"/>
          <w:lang w:val="zh-CN"/>
        </w:rPr>
        <w:t>。</w:t>
      </w:r>
      <w:r>
        <w:rPr>
          <w:rFonts w:ascii="仿宋_GB2312" w:eastAsia="仿宋_GB2312"/>
          <w:sz w:val="28"/>
          <w:lang w:val="zh-CN"/>
        </w:rPr>
        <w:t>该项目</w:t>
      </w:r>
      <w:r>
        <w:rPr>
          <w:rFonts w:hint="eastAsia" w:ascii="仿宋_GB2312" w:eastAsia="仿宋_GB2312"/>
          <w:sz w:val="28"/>
          <w:lang w:val="zh-CN"/>
        </w:rPr>
        <w:t>最终</w:t>
      </w:r>
      <w:r>
        <w:rPr>
          <w:rFonts w:ascii="仿宋_GB2312" w:eastAsia="仿宋_GB2312"/>
          <w:sz w:val="28"/>
          <w:lang w:val="zh-CN"/>
        </w:rPr>
        <w:t>评价评分为</w:t>
      </w:r>
      <w:r>
        <w:rPr>
          <w:rFonts w:hint="eastAsia" w:ascii="仿宋_GB2312" w:eastAsia="仿宋_GB2312"/>
          <w:b/>
          <w:bCs/>
          <w:sz w:val="28"/>
          <w:lang w:val="en-US" w:eastAsia="zh-CN"/>
        </w:rPr>
        <w:t>90</w:t>
      </w:r>
      <w:r>
        <w:rPr>
          <w:rFonts w:ascii="仿宋_GB2312" w:eastAsia="仿宋_GB2312"/>
          <w:sz w:val="28"/>
        </w:rPr>
        <w:t>分，评价等级为</w:t>
      </w:r>
      <w:r>
        <w:rPr>
          <w:rFonts w:hint="eastAsia" w:ascii="仿宋_GB2312" w:eastAsia="仿宋_GB2312"/>
          <w:sz w:val="28"/>
          <w:lang w:eastAsia="zh-CN"/>
        </w:rPr>
        <w:t>优</w:t>
      </w:r>
      <w:r>
        <w:rPr>
          <w:rFonts w:ascii="仿宋_GB2312" w:eastAsia="仿宋_GB2312"/>
          <w:sz w:val="28"/>
        </w:rPr>
        <w:t>。</w:t>
      </w:r>
    </w:p>
    <w:p>
      <w:pPr>
        <w:pStyle w:val="3"/>
        <w:bidi w:val="0"/>
        <w:rPr>
          <w:rFonts w:hint="eastAsia"/>
          <w:sz w:val="28"/>
          <w:szCs w:val="28"/>
          <w:lang w:val="en-US" w:eastAsia="zh-CN"/>
        </w:rPr>
      </w:pPr>
      <w:bookmarkStart w:id="2" w:name="_Toc13180"/>
      <w:r>
        <w:rPr>
          <w:rFonts w:hint="eastAsia"/>
          <w:sz w:val="28"/>
          <w:szCs w:val="28"/>
          <w:lang w:val="en-US" w:eastAsia="zh-CN"/>
        </w:rPr>
        <w:t>（二）项目基本情况</w:t>
      </w:r>
      <w:bookmarkEnd w:id="2"/>
    </w:p>
    <w:p>
      <w:pPr>
        <w:pStyle w:val="4"/>
        <w:bidi w:val="0"/>
        <w:rPr>
          <w:rFonts w:hint="eastAsia"/>
          <w:sz w:val="28"/>
          <w:szCs w:val="28"/>
          <w:lang w:val="en-US" w:eastAsia="zh-CN"/>
        </w:rPr>
      </w:pPr>
      <w:bookmarkStart w:id="3" w:name="_Toc6156"/>
      <w:r>
        <w:rPr>
          <w:rFonts w:hint="eastAsia"/>
          <w:sz w:val="28"/>
          <w:szCs w:val="28"/>
          <w:lang w:val="en-US" w:eastAsia="zh-CN"/>
        </w:rPr>
        <w:t>1、项目概况：</w:t>
      </w:r>
      <w:bookmarkEnd w:id="3"/>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hint="eastAsia" w:ascii="仿宋_GB2312" w:eastAsia="仿宋_GB2312"/>
          <w:kern w:val="0"/>
          <w:sz w:val="28"/>
          <w:lang w:val="en-US" w:eastAsia="zh-CN"/>
        </w:rPr>
        <w:t>根据湖北省水利厅鄂水利复【2017】68号《省水利厅关于嘉鱼县余码（峡港）河治理工程初步设计报告的批复》文件精神，嘉鱼县水利局中小河流治理工程建设管理办公室通过招投标工作，确定由湖北水总水利水电建设股份有限公司为施工方，于2018年4月21日对嘉鱼县余码峡港河进行了综合治理。</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hint="eastAsia" w:ascii="仿宋_GB2312" w:eastAsia="仿宋_GB2312"/>
          <w:kern w:val="0"/>
          <w:sz w:val="28"/>
          <w:lang w:val="en-US" w:eastAsia="zh-CN"/>
        </w:rPr>
        <w:t>该项目批复投资金额为2193.3万元，其中，中央专项资金2004万元，批复文件分别为鄂财农发【2017】88号文1503万元、鄂财农发【2018】81号文501万元；县级财政配套资金189.3万元，批复文件分别为嘉河流【2018】3号文30万元、嘉河流【2018】13号122.3万元、嘉河流【2019】2号文37万元。以上中央资金及县级配套资金2193.3万元已全部拨付到位。</w:t>
      </w:r>
    </w:p>
    <w:p>
      <w:pPr>
        <w:keepNext w:val="0"/>
        <w:keepLines w:val="0"/>
        <w:widowControl/>
        <w:suppressLineNumbers w:val="0"/>
        <w:ind w:firstLine="560" w:firstLineChars="200"/>
        <w:jc w:val="left"/>
        <w:rPr>
          <w:rFonts w:hint="eastAsia" w:ascii="仿宋_GB2312" w:eastAsia="仿宋_GB2312"/>
          <w:kern w:val="0"/>
          <w:sz w:val="28"/>
          <w:lang w:val="en-US" w:eastAsia="zh-CN"/>
        </w:rPr>
      </w:pPr>
      <w:r>
        <w:rPr>
          <w:rFonts w:hint="eastAsia" w:ascii="仿宋_GB2312" w:eastAsia="仿宋_GB2312"/>
          <w:kern w:val="0"/>
          <w:sz w:val="28"/>
          <w:lang w:val="en-US" w:eastAsia="zh-CN"/>
        </w:rPr>
        <w:t>截至2019年8月，该项目共计支付工程费用11566695.60 元， 其中：工程款10248814.00元，其它待摊费用1317881.60元。</w:t>
      </w:r>
    </w:p>
    <w:p>
      <w:pPr>
        <w:keepNext w:val="0"/>
        <w:keepLines w:val="0"/>
        <w:widowControl/>
        <w:suppressLineNumbers w:val="0"/>
        <w:ind w:firstLine="560" w:firstLineChars="200"/>
        <w:jc w:val="left"/>
        <w:rPr>
          <w:rFonts w:hint="eastAsia" w:ascii="仿宋_GB2312" w:eastAsia="仿宋_GB2312"/>
          <w:kern w:val="0"/>
          <w:sz w:val="28"/>
          <w:lang w:val="en-US" w:eastAsia="zh-CN"/>
        </w:rPr>
      </w:pPr>
      <w:r>
        <w:rPr>
          <w:rFonts w:hint="eastAsia" w:ascii="仿宋_GB2312" w:eastAsia="仿宋_GB2312"/>
          <w:kern w:val="0"/>
          <w:sz w:val="28"/>
          <w:lang w:val="en-US" w:eastAsia="zh-CN"/>
        </w:rPr>
        <w:t>工程原计划于2019年4月30日完工，但由于工程在建设过程中发生了</w:t>
      </w:r>
      <w:r>
        <w:rPr>
          <w:rFonts w:hint="eastAsia" w:ascii="仿宋_GB2312" w:eastAsia="仿宋_GB2312"/>
          <w:b w:val="0"/>
          <w:bCs w:val="0"/>
          <w:color w:val="auto"/>
          <w:kern w:val="0"/>
          <w:sz w:val="28"/>
          <w:lang w:val="en-US" w:eastAsia="zh-CN"/>
        </w:rPr>
        <w:t>较</w:t>
      </w:r>
      <w:r>
        <w:rPr>
          <w:rFonts w:hint="eastAsia" w:ascii="仿宋_GB2312" w:eastAsia="仿宋_GB2312"/>
          <w:kern w:val="0"/>
          <w:sz w:val="28"/>
          <w:lang w:val="en-US" w:eastAsia="zh-CN"/>
        </w:rPr>
        <w:t>大事项变更，目前变更手续还在申报办理中，故该项目至今尚未完工。</w:t>
      </w:r>
    </w:p>
    <w:p>
      <w:pPr>
        <w:pStyle w:val="4"/>
        <w:bidi w:val="0"/>
        <w:rPr>
          <w:rFonts w:hint="default"/>
          <w:sz w:val="28"/>
          <w:szCs w:val="28"/>
          <w:lang w:val="en-US" w:eastAsia="zh-CN"/>
        </w:rPr>
      </w:pPr>
      <w:bookmarkStart w:id="4" w:name="_Toc8099"/>
      <w:r>
        <w:rPr>
          <w:rFonts w:hint="eastAsia"/>
          <w:sz w:val="28"/>
          <w:szCs w:val="28"/>
          <w:lang w:val="en-US" w:eastAsia="zh-CN"/>
        </w:rPr>
        <w:t>2、绩效评价工作基本情况</w:t>
      </w:r>
      <w:bookmarkEnd w:id="4"/>
    </w:p>
    <w:p>
      <w:pPr>
        <w:tabs>
          <w:tab w:val="left" w:pos="625"/>
        </w:tabs>
        <w:autoSpaceDE w:val="0"/>
        <w:autoSpaceDN w:val="0"/>
        <w:adjustRightInd w:val="0"/>
        <w:spacing w:line="540" w:lineRule="exact"/>
        <w:ind w:firstLine="549"/>
        <w:jc w:val="left"/>
        <w:rPr>
          <w:rFonts w:ascii="仿宋_GB2312" w:eastAsia="仿宋_GB2312"/>
          <w:kern w:val="0"/>
          <w:sz w:val="28"/>
          <w:lang w:val="zh-CN"/>
        </w:rPr>
      </w:pPr>
      <w:r>
        <w:rPr>
          <w:rFonts w:hint="eastAsia" w:ascii="仿宋_GB2312" w:eastAsia="仿宋_GB2312"/>
          <w:sz w:val="28"/>
          <w:lang w:val="zh-CN"/>
        </w:rPr>
        <w:t>嘉鱼</w:t>
      </w:r>
      <w:r>
        <w:rPr>
          <w:rFonts w:ascii="仿宋_GB2312" w:eastAsia="仿宋_GB2312"/>
          <w:sz w:val="28"/>
          <w:lang w:val="zh-CN"/>
        </w:rPr>
        <w:t>县财政局为全面了解</w:t>
      </w:r>
      <w:r>
        <w:rPr>
          <w:rFonts w:hint="eastAsia" w:ascii="仿宋_GB2312" w:eastAsia="仿宋_GB2312"/>
          <w:sz w:val="28"/>
          <w:lang w:val="zh-CN"/>
        </w:rPr>
        <w:t>余码峡港河治理项目</w:t>
      </w:r>
      <w:r>
        <w:rPr>
          <w:rFonts w:ascii="仿宋_GB2312" w:eastAsia="仿宋_GB2312"/>
          <w:sz w:val="28"/>
          <w:lang w:val="zh-CN"/>
        </w:rPr>
        <w:t>的</w:t>
      </w:r>
      <w:r>
        <w:rPr>
          <w:rFonts w:ascii="仿宋_GB2312" w:eastAsia="仿宋_GB2312"/>
          <w:kern w:val="0"/>
          <w:sz w:val="28"/>
          <w:lang w:val="zh-CN"/>
        </w:rPr>
        <w:t>资金使用情况、项目实施情况以及取得的综合绩效，保证项目资金使用的规范性、安全性和有效性，委托我公司对该</w:t>
      </w:r>
      <w:r>
        <w:rPr>
          <w:rFonts w:ascii="仿宋_GB2312" w:eastAsia="仿宋_GB2312"/>
          <w:sz w:val="28"/>
          <w:lang w:val="zh-CN"/>
        </w:rPr>
        <w:t>项目</w:t>
      </w:r>
      <w:r>
        <w:rPr>
          <w:rFonts w:ascii="仿宋_GB2312" w:eastAsia="仿宋_GB2312"/>
          <w:kern w:val="0"/>
          <w:sz w:val="28"/>
          <w:lang w:val="zh-CN"/>
        </w:rPr>
        <w:t>进行了绩效评价。</w:t>
      </w:r>
    </w:p>
    <w:p>
      <w:pPr>
        <w:tabs>
          <w:tab w:val="left" w:pos="625"/>
        </w:tabs>
        <w:autoSpaceDE w:val="0"/>
        <w:autoSpaceDN w:val="0"/>
        <w:adjustRightInd w:val="0"/>
        <w:spacing w:line="540" w:lineRule="exact"/>
        <w:ind w:firstLine="549"/>
        <w:jc w:val="left"/>
        <w:rPr>
          <w:rFonts w:ascii="仿宋_GB2312" w:eastAsia="仿宋_GB2312"/>
          <w:kern w:val="0"/>
          <w:sz w:val="28"/>
          <w:lang w:val="zh-CN"/>
        </w:rPr>
      </w:pPr>
      <w:r>
        <w:rPr>
          <w:rFonts w:ascii="仿宋_GB2312" w:eastAsia="仿宋_GB2312"/>
          <w:kern w:val="0"/>
          <w:sz w:val="28"/>
          <w:lang w:val="zh-CN"/>
        </w:rPr>
        <w:t>我公司接受委托后成立绩效评价工作组，在</w:t>
      </w:r>
      <w:r>
        <w:rPr>
          <w:rFonts w:hint="eastAsia" w:ascii="仿宋_GB2312" w:eastAsia="仿宋_GB2312"/>
          <w:sz w:val="28"/>
          <w:lang w:val="zh-CN"/>
        </w:rPr>
        <w:t>嘉鱼</w:t>
      </w:r>
      <w:r>
        <w:rPr>
          <w:rFonts w:ascii="仿宋_GB2312" w:eastAsia="仿宋_GB2312"/>
          <w:sz w:val="28"/>
          <w:lang w:val="zh-CN"/>
        </w:rPr>
        <w:t>县</w:t>
      </w:r>
      <w:r>
        <w:rPr>
          <w:rFonts w:ascii="仿宋_GB2312" w:eastAsia="仿宋_GB2312"/>
          <w:kern w:val="0"/>
          <w:sz w:val="28"/>
          <w:lang w:val="zh-CN"/>
        </w:rPr>
        <w:t>财政局、</w:t>
      </w:r>
      <w:r>
        <w:rPr>
          <w:rFonts w:hint="eastAsia" w:ascii="仿宋_GB2312" w:eastAsia="仿宋_GB2312"/>
          <w:kern w:val="0"/>
          <w:sz w:val="28"/>
          <w:lang w:val="zh-CN"/>
        </w:rPr>
        <w:t>水利</w:t>
      </w:r>
      <w:r>
        <w:rPr>
          <w:rFonts w:ascii="仿宋_GB2312" w:eastAsia="仿宋_GB2312"/>
          <w:kern w:val="0"/>
          <w:sz w:val="28"/>
          <w:lang w:val="zh-CN"/>
        </w:rPr>
        <w:t>局及</w:t>
      </w:r>
      <w:r>
        <w:rPr>
          <w:rFonts w:hint="eastAsia" w:ascii="仿宋_GB2312" w:eastAsia="仿宋_GB2312"/>
          <w:kern w:val="0"/>
          <w:sz w:val="28"/>
          <w:lang w:val="zh-CN"/>
        </w:rPr>
        <w:t>中小河流治理工程建设管理办公室</w:t>
      </w:r>
      <w:r>
        <w:rPr>
          <w:rFonts w:ascii="仿宋_GB2312" w:eastAsia="仿宋_GB2312"/>
          <w:kern w:val="0"/>
          <w:sz w:val="28"/>
          <w:lang w:val="zh-CN"/>
        </w:rPr>
        <w:t>的大力配合下，实施了具体评价工作。</w:t>
      </w:r>
    </w:p>
    <w:p>
      <w:pPr>
        <w:tabs>
          <w:tab w:val="left" w:pos="625"/>
        </w:tabs>
        <w:autoSpaceDE w:val="0"/>
        <w:autoSpaceDN w:val="0"/>
        <w:adjustRightInd w:val="0"/>
        <w:spacing w:line="540" w:lineRule="exact"/>
        <w:ind w:firstLine="549"/>
        <w:jc w:val="left"/>
        <w:rPr>
          <w:rFonts w:ascii="仿宋_GB2312" w:eastAsia="仿宋_GB2312"/>
          <w:kern w:val="0"/>
          <w:sz w:val="28"/>
          <w:lang w:val="zh-CN"/>
        </w:rPr>
      </w:pPr>
      <w:r>
        <w:rPr>
          <w:rFonts w:ascii="仿宋_GB2312" w:eastAsia="仿宋_GB2312"/>
          <w:kern w:val="0"/>
          <w:sz w:val="28"/>
          <w:lang w:val="zh-CN"/>
        </w:rPr>
        <w:t>本项目绩效评价组于201</w:t>
      </w:r>
      <w:r>
        <w:rPr>
          <w:rFonts w:hint="eastAsia" w:ascii="仿宋_GB2312" w:eastAsia="仿宋_GB2312"/>
          <w:kern w:val="0"/>
          <w:sz w:val="28"/>
          <w:lang w:val="en-US" w:eastAsia="zh-CN"/>
        </w:rPr>
        <w:t>9</w:t>
      </w:r>
      <w:r>
        <w:rPr>
          <w:rFonts w:ascii="仿宋_GB2312" w:eastAsia="仿宋_GB2312"/>
          <w:kern w:val="0"/>
          <w:sz w:val="28"/>
          <w:lang w:val="zh-CN"/>
        </w:rPr>
        <w:t>年</w:t>
      </w:r>
      <w:r>
        <w:rPr>
          <w:rFonts w:hint="eastAsia" w:ascii="仿宋_GB2312" w:eastAsia="仿宋_GB2312"/>
          <w:kern w:val="0"/>
          <w:sz w:val="28"/>
          <w:lang w:val="en-US" w:eastAsia="zh-CN"/>
        </w:rPr>
        <w:t>8</w:t>
      </w:r>
      <w:r>
        <w:rPr>
          <w:rFonts w:ascii="仿宋_GB2312" w:eastAsia="仿宋_GB2312"/>
          <w:kern w:val="0"/>
          <w:sz w:val="28"/>
          <w:lang w:val="zh-CN"/>
        </w:rPr>
        <w:t>月</w:t>
      </w:r>
      <w:r>
        <w:rPr>
          <w:rFonts w:hint="eastAsia" w:ascii="仿宋_GB2312" w:eastAsia="仿宋_GB2312"/>
          <w:kern w:val="0"/>
          <w:sz w:val="28"/>
          <w:lang w:val="en-US" w:eastAsia="zh-CN"/>
        </w:rPr>
        <w:t>26</w:t>
      </w:r>
      <w:r>
        <w:rPr>
          <w:rFonts w:ascii="仿宋_GB2312" w:eastAsia="仿宋_GB2312"/>
          <w:kern w:val="0"/>
          <w:sz w:val="28"/>
          <w:lang w:val="zh-CN"/>
        </w:rPr>
        <w:t>日进驻</w:t>
      </w:r>
      <w:r>
        <w:rPr>
          <w:rFonts w:hint="eastAsia" w:ascii="仿宋_GB2312" w:eastAsia="仿宋_GB2312"/>
          <w:kern w:val="0"/>
          <w:sz w:val="28"/>
          <w:lang w:val="zh-CN"/>
        </w:rPr>
        <w:t>嘉鱼县水利局</w:t>
      </w:r>
      <w:r>
        <w:rPr>
          <w:rFonts w:ascii="仿宋_GB2312" w:eastAsia="仿宋_GB2312"/>
          <w:kern w:val="0"/>
          <w:sz w:val="28"/>
          <w:lang w:val="zh-CN"/>
        </w:rPr>
        <w:t>积极开展工作，完成了项目绩效评价工作方案的制定、评价指标体系的设计与修改、资料清单编制等多项工作；在评价过程中，通过访谈、座谈会、实地调研等多种方式搜集数据与资料；在对搜集到的数据与资料进行分析、审核后，形成</w:t>
      </w:r>
      <w:r>
        <w:rPr>
          <w:rFonts w:hint="eastAsia" w:ascii="仿宋_GB2312" w:eastAsia="仿宋_GB2312"/>
          <w:kern w:val="0"/>
          <w:sz w:val="28"/>
          <w:lang w:val="zh-CN"/>
        </w:rPr>
        <w:t>了最终评价得分及评价报告。</w:t>
      </w:r>
    </w:p>
    <w:p>
      <w:pPr>
        <w:autoSpaceDE w:val="0"/>
        <w:autoSpaceDN w:val="0"/>
        <w:adjustRightInd w:val="0"/>
        <w:spacing w:line="540" w:lineRule="exact"/>
        <w:ind w:firstLine="560"/>
        <w:rPr>
          <w:rFonts w:ascii="仿宋_GB2312" w:eastAsia="仿宋_GB2312"/>
          <w:sz w:val="28"/>
        </w:rPr>
      </w:pPr>
      <w:r>
        <w:rPr>
          <w:rFonts w:ascii="仿宋_GB2312" w:eastAsia="仿宋_GB2312"/>
          <w:sz w:val="28"/>
        </w:rPr>
        <w:t>具体绩效评价情况见正文。</w:t>
      </w:r>
    </w:p>
    <w:p>
      <w:pPr>
        <w:pStyle w:val="3"/>
        <w:bidi w:val="0"/>
        <w:rPr>
          <w:rFonts w:hint="eastAsia"/>
          <w:sz w:val="28"/>
          <w:szCs w:val="28"/>
          <w:lang w:eastAsia="zh-CN"/>
        </w:rPr>
      </w:pPr>
      <w:bookmarkStart w:id="5" w:name="_Toc21046"/>
      <w:r>
        <w:rPr>
          <w:rFonts w:hint="eastAsia"/>
          <w:sz w:val="28"/>
          <w:szCs w:val="28"/>
          <w:lang w:eastAsia="zh-CN"/>
        </w:rPr>
        <w:t>（三）绩效分析</w:t>
      </w:r>
      <w:bookmarkEnd w:id="5"/>
    </w:p>
    <w:p>
      <w:pPr>
        <w:pStyle w:val="4"/>
        <w:bidi w:val="0"/>
        <w:rPr>
          <w:rFonts w:hint="default"/>
          <w:sz w:val="28"/>
          <w:szCs w:val="28"/>
          <w:lang w:val="en-US" w:eastAsia="zh-CN"/>
        </w:rPr>
      </w:pPr>
      <w:r>
        <w:rPr>
          <w:rFonts w:hint="eastAsia"/>
          <w:sz w:val="28"/>
          <w:szCs w:val="28"/>
          <w:lang w:val="en-US" w:eastAsia="zh-CN"/>
        </w:rPr>
        <w:t xml:space="preserve">    </w:t>
      </w:r>
      <w:bookmarkStart w:id="6" w:name="_Toc25321"/>
      <w:r>
        <w:rPr>
          <w:rFonts w:hint="eastAsia"/>
          <w:sz w:val="28"/>
          <w:szCs w:val="28"/>
          <w:lang w:val="en-US" w:eastAsia="zh-CN"/>
        </w:rPr>
        <w:t>1、项目成效</w:t>
      </w:r>
      <w:bookmarkEnd w:id="6"/>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hint="eastAsia" w:ascii="仿宋_GB2312" w:eastAsia="仿宋_GB2312"/>
          <w:kern w:val="0"/>
          <w:sz w:val="28"/>
          <w:lang w:val="en-US" w:eastAsia="zh-CN"/>
        </w:rPr>
        <w:t>（1）解决了沿河两岸“大雨大灾，小雨小灾”的防洪排涝压力，免除了暴雨、洪水对沿岸人民生命财产的威胁，保护了渡普镇2万人、3万亩耕地，城镇企业及公路的防洪安全。</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hint="eastAsia" w:ascii="仿宋_GB2312" w:eastAsia="仿宋_GB2312"/>
          <w:kern w:val="0"/>
          <w:sz w:val="28"/>
          <w:lang w:val="en-US" w:eastAsia="zh-CN"/>
        </w:rPr>
        <w:t>（2）通过项目实施，保护区水土资源有效保护和合理利用，土地生产力得到提高，沿河因淤积影响进流的涵洞、泵站恢复了正常使用，并改善了进出水口的条件，增加了排灌流量，提高了农业生产水平，使农业生产和群众生活条件得到显著改善，人口环境容量得到提高，生态系统向良性循环转化，促进项目区经济社会快速、持续发展。</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hint="eastAsia" w:ascii="仿宋_GB2312" w:eastAsia="仿宋_GB2312"/>
          <w:kern w:val="0"/>
          <w:sz w:val="28"/>
          <w:lang w:val="en-US" w:eastAsia="zh-CN"/>
        </w:rPr>
        <w:t>（3）提高项目区防洪标准，确保发生设计标准洪水时两岸人民生命财产安全及公共设施正常运行，使两岸人民群众的生活质量得到显著提高。减免洪灾造成的农、渔业减产、疾病流行，增加社会生产、生活的安全感，更好地推动当地社会经济的稳定快速发展。</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hint="eastAsia" w:ascii="仿宋_GB2312" w:eastAsia="仿宋_GB2312"/>
          <w:kern w:val="0"/>
          <w:sz w:val="28"/>
          <w:lang w:val="en-US" w:eastAsia="zh-CN"/>
        </w:rPr>
        <w:t>（4）通过水土保持和环境治理，种植草皮和林木，彻底清理了河道淤塞的水葫芦，防止了两岸的水土流失，美化了周边环境，使河道重新焕发了河畅、水清、景美的景观，极大地改善了当地农业生产和居民生活条件。</w:t>
      </w:r>
    </w:p>
    <w:p>
      <w:pPr>
        <w:pStyle w:val="4"/>
        <w:bidi w:val="0"/>
        <w:rPr>
          <w:rFonts w:hint="default"/>
          <w:sz w:val="28"/>
          <w:szCs w:val="28"/>
          <w:lang w:val="en-US" w:eastAsia="zh-CN"/>
        </w:rPr>
      </w:pPr>
      <w:bookmarkStart w:id="7" w:name="_Toc27195"/>
      <w:r>
        <w:rPr>
          <w:rFonts w:hint="eastAsia"/>
          <w:sz w:val="28"/>
          <w:szCs w:val="28"/>
          <w:lang w:val="en-US" w:eastAsia="zh-CN"/>
        </w:rPr>
        <w:t>2、存在的主要问题</w:t>
      </w:r>
      <w:bookmarkEnd w:id="7"/>
    </w:p>
    <w:p>
      <w:pPr>
        <w:tabs>
          <w:tab w:val="left" w:pos="625"/>
        </w:tabs>
        <w:autoSpaceDE w:val="0"/>
        <w:autoSpaceDN w:val="0"/>
        <w:adjustRightInd w:val="0"/>
        <w:spacing w:line="540" w:lineRule="exact"/>
        <w:ind w:firstLine="549"/>
        <w:jc w:val="left"/>
        <w:rPr>
          <w:rFonts w:hint="default" w:ascii="仿宋_GB2312" w:eastAsia="仿宋_GB2312"/>
          <w:kern w:val="0"/>
          <w:sz w:val="28"/>
          <w:lang w:val="en-US" w:eastAsia="zh-CN"/>
        </w:rPr>
      </w:pPr>
      <w:r>
        <w:rPr>
          <w:rFonts w:hint="eastAsia" w:ascii="仿宋_GB2312" w:eastAsia="仿宋_GB2312"/>
          <w:kern w:val="0"/>
          <w:sz w:val="28"/>
          <w:lang w:val="en-US" w:eastAsia="zh-CN"/>
        </w:rPr>
        <w:t>（1）在对周边村民进行调查走访时了解到，有个别村民的建设及施工场地补偿款尚未补偿到位，经核实得知，丁字沟周边的渔民与项目组之间就渔塘周边附着物的拆除补偿标准未协商一致，导致个别村民的补偿款至今未补偿到位。</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hint="eastAsia" w:ascii="仿宋_GB2312" w:eastAsia="仿宋_GB2312"/>
          <w:kern w:val="0"/>
          <w:sz w:val="28"/>
          <w:lang w:val="en-US" w:eastAsia="zh-CN"/>
        </w:rPr>
        <w:t>（2）绩效评价组在检查各类合同中发现，项目组与施工方（湖北水总水利水电建设股份有限公司）签订的施工合同中，结算条款约定不明确，未清楚约定结算的具体时限，难以确认工程款结算依据。</w:t>
      </w:r>
    </w:p>
    <w:p>
      <w:pPr>
        <w:tabs>
          <w:tab w:val="left" w:pos="625"/>
        </w:tabs>
        <w:autoSpaceDE w:val="0"/>
        <w:autoSpaceDN w:val="0"/>
        <w:adjustRightInd w:val="0"/>
        <w:spacing w:line="540" w:lineRule="exact"/>
        <w:ind w:firstLine="549"/>
        <w:jc w:val="left"/>
        <w:rPr>
          <w:rFonts w:hint="default" w:ascii="仿宋_GB2312" w:eastAsia="仿宋_GB2312"/>
          <w:kern w:val="0"/>
          <w:sz w:val="28"/>
          <w:lang w:val="en-US" w:eastAsia="zh-CN"/>
        </w:rPr>
      </w:pPr>
      <w:r>
        <w:rPr>
          <w:rFonts w:hint="eastAsia" w:ascii="仿宋_GB2312" w:eastAsia="仿宋_GB2312"/>
          <w:kern w:val="0"/>
          <w:sz w:val="28"/>
          <w:lang w:val="en-US" w:eastAsia="zh-CN"/>
        </w:rPr>
        <w:t>（3）由于工程中途出现</w:t>
      </w:r>
      <w:r>
        <w:rPr>
          <w:rFonts w:hint="eastAsia" w:ascii="仿宋_GB2312" w:eastAsia="仿宋_GB2312"/>
          <w:b w:val="0"/>
          <w:bCs w:val="0"/>
          <w:color w:val="auto"/>
          <w:kern w:val="0"/>
          <w:sz w:val="28"/>
          <w:lang w:val="en-US" w:eastAsia="zh-CN"/>
        </w:rPr>
        <w:t>较</w:t>
      </w:r>
      <w:r>
        <w:rPr>
          <w:rFonts w:hint="eastAsia" w:ascii="仿宋_GB2312" w:eastAsia="仿宋_GB2312"/>
          <w:kern w:val="0"/>
          <w:sz w:val="28"/>
          <w:lang w:val="en-US" w:eastAsia="zh-CN"/>
        </w:rPr>
        <w:t>大事项变更，导致工程完工时间已严重滞后。截止绩效评价工作日止，该项目尚未完工，且</w:t>
      </w:r>
      <w:r>
        <w:rPr>
          <w:rFonts w:hint="eastAsia" w:ascii="仿宋_GB2312" w:eastAsia="仿宋_GB2312"/>
          <w:b w:val="0"/>
          <w:bCs w:val="0"/>
          <w:color w:val="auto"/>
          <w:kern w:val="0"/>
          <w:sz w:val="28"/>
          <w:lang w:val="en-US" w:eastAsia="zh-CN"/>
        </w:rPr>
        <w:t>较</w:t>
      </w:r>
      <w:r>
        <w:rPr>
          <w:rFonts w:hint="eastAsia" w:ascii="仿宋_GB2312" w:eastAsia="仿宋_GB2312"/>
          <w:kern w:val="0"/>
          <w:sz w:val="28"/>
          <w:lang w:val="en-US" w:eastAsia="zh-CN"/>
        </w:rPr>
        <w:t>大事项变更手续仍未完成。</w:t>
      </w:r>
    </w:p>
    <w:p>
      <w:pPr>
        <w:pStyle w:val="3"/>
        <w:bidi w:val="0"/>
        <w:rPr>
          <w:rFonts w:hint="eastAsia"/>
          <w:sz w:val="28"/>
          <w:szCs w:val="28"/>
          <w:lang w:val="en-US" w:eastAsia="zh-CN"/>
        </w:rPr>
      </w:pPr>
      <w:bookmarkStart w:id="8" w:name="_Toc20473"/>
      <w:r>
        <w:rPr>
          <w:rFonts w:hint="eastAsia"/>
          <w:sz w:val="28"/>
          <w:szCs w:val="28"/>
          <w:lang w:val="en-US" w:eastAsia="zh-CN"/>
        </w:rPr>
        <w:t>（四）工作建议</w:t>
      </w:r>
      <w:bookmarkEnd w:id="8"/>
    </w:p>
    <w:p>
      <w:pPr>
        <w:keepNext w:val="0"/>
        <w:keepLines w:val="0"/>
        <w:widowControl/>
        <w:numPr>
          <w:ilvl w:val="0"/>
          <w:numId w:val="0"/>
        </w:numPr>
        <w:suppressLineNumbers w:val="0"/>
        <w:spacing w:before="0" w:beforeAutospacing="1" w:after="0" w:afterAutospacing="1"/>
        <w:rPr>
          <w:rFonts w:hint="eastAsia" w:ascii="仿宋_GB2312" w:eastAsia="仿宋_GB2312"/>
          <w:kern w:val="0"/>
          <w:sz w:val="28"/>
          <w:lang w:val="en-US" w:eastAsia="zh-CN"/>
        </w:rPr>
      </w:pPr>
      <w:r>
        <w:rPr>
          <w:rFonts w:hint="eastAsia"/>
          <w:sz w:val="28"/>
          <w:szCs w:val="28"/>
          <w:lang w:val="en-US" w:eastAsia="zh-CN"/>
        </w:rPr>
        <w:t xml:space="preserve"> </w:t>
      </w:r>
      <w:r>
        <w:rPr>
          <w:rFonts w:hint="eastAsia" w:ascii="仿宋_GB2312" w:eastAsia="仿宋_GB2312"/>
          <w:kern w:val="0"/>
          <w:sz w:val="28"/>
          <w:lang w:val="en-US" w:eastAsia="zh-CN"/>
        </w:rPr>
        <w:t>1、尽快与村民就补偿标准一事进行协商，确保补偿款早日发放下去。如双方意见确实无法达成一致，建议咨询政府国土资源管理部门。以避免因村民未拿到补偿款阻挠项目部施工、延误工期的潜在风险。</w:t>
      </w:r>
    </w:p>
    <w:p>
      <w:pPr>
        <w:keepNext w:val="0"/>
        <w:keepLines w:val="0"/>
        <w:widowControl/>
        <w:numPr>
          <w:ilvl w:val="0"/>
          <w:numId w:val="0"/>
        </w:numPr>
        <w:suppressLineNumbers w:val="0"/>
        <w:spacing w:before="0" w:beforeAutospacing="1" w:after="0" w:afterAutospacing="1"/>
        <w:rPr>
          <w:rFonts w:hint="eastAsia" w:ascii="仿宋_GB2312" w:eastAsia="仿宋_GB2312"/>
          <w:kern w:val="0"/>
          <w:sz w:val="28"/>
          <w:lang w:val="en-US" w:eastAsia="zh-CN"/>
        </w:rPr>
      </w:pPr>
      <w:r>
        <w:rPr>
          <w:rFonts w:hint="eastAsia" w:ascii="仿宋_GB2312" w:eastAsia="仿宋_GB2312"/>
          <w:kern w:val="0"/>
          <w:sz w:val="28"/>
          <w:lang w:val="en-US" w:eastAsia="zh-CN"/>
        </w:rPr>
        <w:t>2、要规避和控制工程结算法律风险，在合同签订时要重视结算条款，作到全面、严密约定工程款结算条件。按照《合同法》第六十一条规定，建议项目组与施工方签订补充协议，对工程结算的具体时限、质保金、违约金等具体条款进行补充约定。</w:t>
      </w:r>
    </w:p>
    <w:p>
      <w:pPr>
        <w:tabs>
          <w:tab w:val="left" w:pos="625"/>
        </w:tabs>
        <w:autoSpaceDE w:val="0"/>
        <w:autoSpaceDN w:val="0"/>
        <w:adjustRightInd w:val="0"/>
        <w:spacing w:line="540" w:lineRule="exact"/>
        <w:jc w:val="left"/>
        <w:rPr>
          <w:rFonts w:hint="eastAsia" w:ascii="仿宋_GB2312" w:eastAsia="仿宋_GB2312"/>
          <w:kern w:val="0"/>
          <w:sz w:val="28"/>
          <w:lang w:val="en-US" w:eastAsia="zh-CN"/>
        </w:rPr>
      </w:pPr>
      <w:r>
        <w:rPr>
          <w:rFonts w:hint="eastAsia" w:ascii="仿宋_GB2312" w:eastAsia="仿宋_GB2312"/>
          <w:kern w:val="0"/>
          <w:sz w:val="28"/>
          <w:lang w:val="en-US" w:eastAsia="zh-CN"/>
        </w:rPr>
        <w:t>3、加快工程进度，严格工程变更管理，确保工程能在再次约定的工期（2019年11月30日）前如期完工。</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p>
    <w:p>
      <w:pPr>
        <w:rPr>
          <w:rFonts w:hint="eastAsia"/>
          <w:sz w:val="24"/>
          <w:szCs w:val="24"/>
          <w:lang w:val="en-US" w:eastAsia="zh-CN"/>
        </w:rPr>
      </w:pPr>
      <w:r>
        <w:rPr>
          <w:rFonts w:hint="eastAsia"/>
          <w:sz w:val="24"/>
          <w:szCs w:val="24"/>
          <w:lang w:val="en-US" w:eastAsia="zh-CN"/>
        </w:rPr>
        <w:br w:type="page"/>
      </w:r>
    </w:p>
    <w:p>
      <w:pPr>
        <w:pStyle w:val="2"/>
        <w:bidi w:val="0"/>
        <w:jc w:val="center"/>
        <w:rPr>
          <w:rFonts w:hint="eastAsia"/>
          <w:lang w:val="en-US" w:eastAsia="zh-CN"/>
        </w:rPr>
      </w:pPr>
      <w:bookmarkStart w:id="9" w:name="_Toc29649"/>
      <w:r>
        <w:rPr>
          <w:rFonts w:hint="eastAsia"/>
          <w:lang w:val="en-US" w:eastAsia="zh-CN"/>
        </w:rPr>
        <w:t>正  文</w:t>
      </w:r>
      <w:bookmarkEnd w:id="9"/>
    </w:p>
    <w:p>
      <w:pPr>
        <w:pStyle w:val="3"/>
        <w:numPr>
          <w:ilvl w:val="0"/>
          <w:numId w:val="1"/>
        </w:numPr>
        <w:bidi w:val="0"/>
        <w:rPr>
          <w:rFonts w:hint="eastAsia"/>
          <w:sz w:val="28"/>
          <w:szCs w:val="28"/>
          <w:lang w:val="en-US" w:eastAsia="zh-CN"/>
        </w:rPr>
      </w:pPr>
      <w:bookmarkStart w:id="10" w:name="_Toc28801"/>
      <w:r>
        <w:rPr>
          <w:rFonts w:hint="eastAsia"/>
          <w:sz w:val="28"/>
          <w:szCs w:val="28"/>
          <w:lang w:val="en-US" w:eastAsia="zh-CN"/>
        </w:rPr>
        <w:t>基本情况</w:t>
      </w:r>
      <w:bookmarkEnd w:id="10"/>
    </w:p>
    <w:p>
      <w:pPr>
        <w:pStyle w:val="4"/>
        <w:numPr>
          <w:ilvl w:val="0"/>
          <w:numId w:val="2"/>
        </w:numPr>
        <w:bidi w:val="0"/>
        <w:rPr>
          <w:rFonts w:hint="eastAsia"/>
          <w:sz w:val="28"/>
          <w:szCs w:val="28"/>
          <w:lang w:val="en-US" w:eastAsia="zh-CN"/>
        </w:rPr>
      </w:pPr>
      <w:bookmarkStart w:id="11" w:name="_Toc19324"/>
      <w:r>
        <w:rPr>
          <w:rFonts w:hint="eastAsia"/>
          <w:sz w:val="28"/>
          <w:szCs w:val="28"/>
          <w:lang w:val="en-US" w:eastAsia="zh-CN"/>
        </w:rPr>
        <w:t>项目立项目的及绩效目标：</w:t>
      </w:r>
      <w:bookmarkEnd w:id="11"/>
    </w:p>
    <w:p>
      <w:pPr>
        <w:numPr>
          <w:ilvl w:val="0"/>
          <w:numId w:val="0"/>
        </w:numPr>
        <w:tabs>
          <w:tab w:val="left" w:pos="625"/>
        </w:tabs>
        <w:autoSpaceDE w:val="0"/>
        <w:autoSpaceDN w:val="0"/>
        <w:adjustRightInd w:val="0"/>
        <w:spacing w:line="540" w:lineRule="exact"/>
        <w:ind w:firstLine="560" w:firstLineChars="200"/>
        <w:jc w:val="left"/>
        <w:rPr>
          <w:rFonts w:hint="default" w:ascii="仿宋_GB2312" w:eastAsia="仿宋_GB2312"/>
          <w:kern w:val="0"/>
          <w:sz w:val="28"/>
          <w:lang w:val="en-US" w:eastAsia="zh-CN"/>
        </w:rPr>
      </w:pPr>
      <w:r>
        <w:rPr>
          <w:rFonts w:hint="eastAsia" w:ascii="仿宋_GB2312" w:eastAsia="仿宋_GB2312"/>
          <w:kern w:val="0"/>
          <w:sz w:val="28"/>
          <w:lang w:val="en-US" w:eastAsia="zh-CN"/>
        </w:rPr>
        <w:t>余码峡港河发源于嘉鱼县渡普镇韩家矶、经张家矶、峡港等，于鸭棚流入斧头湖，河道全长9公里，流域面积30平方公里。本次工程治理范围为峡港河干流段，治理河长8.925公里，以及扁担沟支流整治0.973公里、丁字沟支流整治1.57公里、峡港台渠支流整治0.1公里。该治理范围河段存在部分河道淤塞严重、部分岸坡不稳，穿堤建筑物老损，跨河建筑物阻水等问题。余码峡港河涉及嘉鱼县渡普镇2万人、3万亩耕地的防洪安全，对该河段治理是必要的。</w:t>
      </w:r>
    </w:p>
    <w:p>
      <w:pPr>
        <w:tabs>
          <w:tab w:val="left" w:pos="625"/>
        </w:tabs>
        <w:autoSpaceDE w:val="0"/>
        <w:autoSpaceDN w:val="0"/>
        <w:adjustRightInd w:val="0"/>
        <w:spacing w:line="540" w:lineRule="exact"/>
        <w:ind w:firstLine="549"/>
        <w:jc w:val="left"/>
        <w:rPr>
          <w:rFonts w:hint="default" w:ascii="仿宋_GB2312" w:eastAsia="仿宋_GB2312"/>
          <w:kern w:val="0"/>
          <w:sz w:val="28"/>
          <w:lang w:val="en-US" w:eastAsia="zh-CN"/>
        </w:rPr>
      </w:pPr>
      <w:r>
        <w:rPr>
          <w:rFonts w:hint="eastAsia" w:ascii="仿宋_GB2312" w:eastAsia="仿宋_GB2312"/>
          <w:kern w:val="0"/>
          <w:sz w:val="28"/>
          <w:lang w:val="en-US" w:eastAsia="zh-CN"/>
        </w:rPr>
        <w:t>根据湖北省水利厅鄂水利复【2017】68号《省水利厅关于嘉鱼县余码（峡港）河治理工程初步设计报告的批复》文件精神，嘉鱼县水利局中小河流治理工程建设管理办公室通过招投标工作，确定由湖北水总水利水电建设股份有限公司为施工方，于2018年4月21日起对嘉鱼县余码峡港河进行了综合治理。工程建设内容为：河道疏挖清障11.568公里；岸坡护砌23.136公里；拆除重建涵闸3座；维修加固泵站1座；拆除重建穿堤涵管17处；拆除重建机耕桥8座，拆除重建人行桥1座。</w:t>
      </w:r>
    </w:p>
    <w:p>
      <w:pPr>
        <w:pStyle w:val="4"/>
        <w:numPr>
          <w:ilvl w:val="0"/>
          <w:numId w:val="2"/>
        </w:numPr>
        <w:bidi w:val="0"/>
        <w:rPr>
          <w:rFonts w:hint="eastAsia"/>
          <w:sz w:val="28"/>
          <w:szCs w:val="28"/>
          <w:lang w:val="en-US" w:eastAsia="zh-CN"/>
        </w:rPr>
      </w:pPr>
      <w:bookmarkStart w:id="12" w:name="_Toc27224"/>
      <w:r>
        <w:rPr>
          <w:rFonts w:hint="eastAsia"/>
          <w:sz w:val="28"/>
          <w:szCs w:val="28"/>
          <w:lang w:val="en-US" w:eastAsia="zh-CN"/>
        </w:rPr>
        <w:t>项目资金情况：</w:t>
      </w:r>
      <w:bookmarkEnd w:id="12"/>
    </w:p>
    <w:p>
      <w:pPr>
        <w:numPr>
          <w:ilvl w:val="0"/>
          <w:numId w:val="0"/>
        </w:numPr>
        <w:tabs>
          <w:tab w:val="left" w:pos="625"/>
        </w:tabs>
        <w:autoSpaceDE w:val="0"/>
        <w:autoSpaceDN w:val="0"/>
        <w:adjustRightInd w:val="0"/>
        <w:spacing w:line="540" w:lineRule="exact"/>
        <w:ind w:left="9" w:leftChars="0" w:firstLine="537" w:firstLineChars="192"/>
        <w:jc w:val="left"/>
        <w:rPr>
          <w:rFonts w:hint="eastAsia" w:ascii="仿宋_GB2312" w:eastAsia="仿宋_GB2312"/>
          <w:kern w:val="0"/>
          <w:sz w:val="28"/>
          <w:lang w:val="en-US" w:eastAsia="zh-CN"/>
        </w:rPr>
      </w:pPr>
      <w:r>
        <w:rPr>
          <w:rFonts w:hint="eastAsia" w:ascii="仿宋_GB2312" w:eastAsia="仿宋_GB2312"/>
          <w:kern w:val="0"/>
          <w:sz w:val="28"/>
          <w:lang w:val="en-US" w:eastAsia="zh-CN"/>
        </w:rPr>
        <w:t>该项目批复投资金额为2193.3万元，其中，中央专项资金2004万元，批复文件分别为鄂财农发【2017】88号文1503万元、鄂财农发【2018】81号文501万元；县级财政配套资金189.3万元，批复文件分别为嘉河流【2018】3号文30万元、嘉河流【2018】13号122.3万元、嘉河流【2019】2号文37万元。以上中央资金及县级配套资金2193.3万元已全部拨付到位。</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hint="eastAsia" w:ascii="仿宋_GB2312" w:eastAsia="仿宋_GB2312"/>
          <w:kern w:val="0"/>
          <w:sz w:val="28"/>
          <w:lang w:val="en-US" w:eastAsia="zh-CN"/>
        </w:rPr>
        <w:t>截至2019年8月，该项目共计支付工程费用11566695.60 元， 其中：中央财政资金支付工程款10248814.00元，结余9791186.00元，结余资金留存于嘉鱼县财政局零余额账户；县级配套资金支付其它待摊费用1317881.60元，结余575118.40元，结余资金留在于嘉鱼县河道堤防管理局零余额账户。</w:t>
      </w:r>
      <w:r>
        <w:rPr>
          <w:rFonts w:hint="eastAsia" w:ascii="仿宋_GB2312" w:eastAsia="仿宋_GB2312"/>
          <w:kern w:val="0"/>
          <w:sz w:val="28"/>
          <w:u w:val="none"/>
          <w:lang w:val="en-US" w:eastAsia="zh-CN"/>
        </w:rPr>
        <w:t>（</w:t>
      </w:r>
      <w:r>
        <w:rPr>
          <w:rFonts w:hint="eastAsia" w:ascii="仿宋_GB2312" w:eastAsia="仿宋_GB2312"/>
          <w:kern w:val="0"/>
          <w:sz w:val="28"/>
          <w:lang w:val="en-US" w:eastAsia="zh-CN"/>
        </w:rPr>
        <w:t>具体支付明细见附件《余码峡港河治理项目资金支出明细表》）</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hint="eastAsia" w:ascii="仿宋_GB2312" w:eastAsia="仿宋_GB2312"/>
          <w:kern w:val="0"/>
          <w:sz w:val="28"/>
          <w:lang w:val="en-US" w:eastAsia="zh-CN"/>
        </w:rPr>
        <w:t>该项目于2018年4月21日正式动工，计划完工时间为2019年4月30日，但由于施工工期与两岸渔业生产期高度重合，致使施工存在一定的困难，主要表现为：①渠道内水不能排除，导致施工场面无法展开，仅能进行清基及清淤工作，施工进度严重滞后；②若强行分段筑围堰施工，则围堰工程量和施工排水工程量及费用大幅增加，鱼塘内高水位将使得现状路堤或塘梗在施工期稳定性大幅降低，存在坍塌风险，施工期社会稳定风险大幅增大。且工程在施工过程中发生了</w:t>
      </w:r>
      <w:r>
        <w:rPr>
          <w:rFonts w:hint="eastAsia" w:ascii="仿宋_GB2312" w:eastAsia="仿宋_GB2312"/>
          <w:b w:val="0"/>
          <w:bCs w:val="0"/>
          <w:color w:val="auto"/>
          <w:kern w:val="0"/>
          <w:sz w:val="28"/>
          <w:lang w:val="en-US" w:eastAsia="zh-CN"/>
        </w:rPr>
        <w:t>较</w:t>
      </w:r>
      <w:r>
        <w:rPr>
          <w:rFonts w:hint="eastAsia" w:ascii="仿宋_GB2312" w:eastAsia="仿宋_GB2312"/>
          <w:kern w:val="0"/>
          <w:sz w:val="28"/>
          <w:lang w:val="en-US" w:eastAsia="zh-CN"/>
        </w:rPr>
        <w:t>大事项变更，目前变更手续仍在办理中。截至绩效评价工作日止，该工程只完成了94.84%，预计最后完工时间为2019年11月30日。</w:t>
      </w:r>
    </w:p>
    <w:p>
      <w:pPr>
        <w:pStyle w:val="3"/>
        <w:numPr>
          <w:ilvl w:val="0"/>
          <w:numId w:val="1"/>
        </w:numPr>
        <w:bidi w:val="0"/>
        <w:rPr>
          <w:rFonts w:hint="eastAsia"/>
          <w:lang w:val="en-US" w:eastAsia="zh-CN"/>
        </w:rPr>
      </w:pPr>
      <w:bookmarkStart w:id="13" w:name="_Toc21903"/>
      <w:r>
        <w:rPr>
          <w:rFonts w:hint="eastAsia"/>
          <w:lang w:val="en-US" w:eastAsia="zh-CN"/>
        </w:rPr>
        <w:t>绩效评价工作开展情况</w:t>
      </w:r>
      <w:bookmarkEnd w:id="13"/>
    </w:p>
    <w:p>
      <w:pPr>
        <w:pStyle w:val="4"/>
        <w:bidi w:val="0"/>
        <w:rPr>
          <w:rFonts w:hint="eastAsia"/>
          <w:lang w:val="en-US" w:eastAsia="zh-CN"/>
        </w:rPr>
      </w:pPr>
      <w:bookmarkStart w:id="14" w:name="_Toc30455"/>
      <w:r>
        <w:rPr>
          <w:rFonts w:hint="eastAsia"/>
          <w:lang w:val="en-US" w:eastAsia="zh-CN"/>
        </w:rPr>
        <w:t>1、评价目的</w:t>
      </w:r>
      <w:bookmarkEnd w:id="14"/>
    </w:p>
    <w:p>
      <w:pPr>
        <w:autoSpaceDE w:val="0"/>
        <w:autoSpaceDN w:val="0"/>
        <w:adjustRightInd w:val="0"/>
        <w:spacing w:line="540" w:lineRule="exact"/>
        <w:ind w:left="0" w:leftChars="0" w:firstLine="0" w:firstLineChars="0"/>
        <w:rPr>
          <w:rFonts w:ascii="仿宋_GB2312" w:eastAsia="仿宋_GB2312"/>
          <w:kern w:val="0"/>
          <w:sz w:val="28"/>
          <w:lang w:val="zh-CN"/>
        </w:rPr>
      </w:pPr>
      <w:r>
        <w:rPr>
          <w:rFonts w:hint="eastAsia" w:ascii="仿宋_GB2312" w:eastAsia="仿宋_GB2312"/>
          <w:kern w:val="0"/>
          <w:sz w:val="28"/>
          <w:lang w:val="zh-CN"/>
        </w:rPr>
        <w:t>（</w:t>
      </w:r>
      <w:r>
        <w:rPr>
          <w:rFonts w:hint="eastAsia" w:ascii="仿宋_GB2312" w:eastAsia="仿宋_GB2312"/>
          <w:kern w:val="0"/>
          <w:sz w:val="28"/>
          <w:lang w:val="en-US" w:eastAsia="zh-CN"/>
        </w:rPr>
        <w:t>1</w:t>
      </w:r>
      <w:r>
        <w:rPr>
          <w:rFonts w:hint="eastAsia" w:ascii="仿宋_GB2312" w:eastAsia="仿宋_GB2312"/>
          <w:kern w:val="0"/>
          <w:sz w:val="28"/>
          <w:lang w:val="zh-CN"/>
        </w:rPr>
        <w:t>）</w:t>
      </w:r>
      <w:r>
        <w:rPr>
          <w:rFonts w:ascii="仿宋_GB2312" w:eastAsia="仿宋_GB2312"/>
          <w:kern w:val="0"/>
          <w:sz w:val="28"/>
          <w:lang w:val="zh-CN"/>
        </w:rPr>
        <w:t>评价财政资金使用情况、项目实施情况以及取得的综合绩效；</w:t>
      </w:r>
    </w:p>
    <w:p>
      <w:pPr>
        <w:autoSpaceDE w:val="0"/>
        <w:autoSpaceDN w:val="0"/>
        <w:adjustRightInd w:val="0"/>
        <w:spacing w:line="540" w:lineRule="exact"/>
        <w:ind w:left="0" w:leftChars="0" w:firstLine="0" w:firstLineChars="0"/>
        <w:rPr>
          <w:rFonts w:ascii="仿宋_GB2312" w:eastAsia="仿宋_GB2312"/>
          <w:kern w:val="0"/>
          <w:sz w:val="28"/>
          <w:lang w:val="zh-CN"/>
        </w:rPr>
      </w:pPr>
      <w:r>
        <w:rPr>
          <w:rFonts w:hint="eastAsia" w:ascii="仿宋_GB2312" w:eastAsia="仿宋_GB2312"/>
          <w:kern w:val="0"/>
          <w:sz w:val="28"/>
          <w:lang w:val="zh-CN"/>
        </w:rPr>
        <w:t>（</w:t>
      </w:r>
      <w:r>
        <w:rPr>
          <w:rFonts w:hint="eastAsia" w:ascii="仿宋_GB2312" w:eastAsia="仿宋_GB2312"/>
          <w:kern w:val="0"/>
          <w:sz w:val="28"/>
          <w:lang w:val="en-US" w:eastAsia="zh-CN"/>
        </w:rPr>
        <w:t>2</w:t>
      </w:r>
      <w:r>
        <w:rPr>
          <w:rFonts w:hint="eastAsia" w:ascii="仿宋_GB2312" w:eastAsia="仿宋_GB2312"/>
          <w:kern w:val="0"/>
          <w:sz w:val="28"/>
          <w:lang w:val="zh-CN"/>
        </w:rPr>
        <w:t>）</w:t>
      </w:r>
      <w:r>
        <w:rPr>
          <w:rFonts w:ascii="仿宋_GB2312" w:eastAsia="仿宋_GB2312"/>
          <w:kern w:val="0"/>
          <w:sz w:val="28"/>
          <w:lang w:val="zh-CN"/>
        </w:rPr>
        <w:t>保证项目资金使用的规范性、安全性和有效性；</w:t>
      </w:r>
    </w:p>
    <w:p>
      <w:pPr>
        <w:autoSpaceDE w:val="0"/>
        <w:autoSpaceDN w:val="0"/>
        <w:adjustRightInd w:val="0"/>
        <w:spacing w:line="540" w:lineRule="exact"/>
        <w:ind w:left="0" w:leftChars="0" w:firstLine="0" w:firstLineChars="0"/>
        <w:rPr>
          <w:rFonts w:ascii="仿宋_GB2312" w:eastAsia="仿宋_GB2312"/>
          <w:sz w:val="28"/>
          <w:lang w:val="zh-CN"/>
        </w:rPr>
      </w:pPr>
      <w:r>
        <w:rPr>
          <w:rFonts w:hint="eastAsia" w:ascii="仿宋_GB2312" w:eastAsia="仿宋_GB2312"/>
          <w:sz w:val="28"/>
          <w:lang w:val="zh-CN"/>
        </w:rPr>
        <w:t>（</w:t>
      </w:r>
      <w:r>
        <w:rPr>
          <w:rFonts w:hint="eastAsia" w:ascii="仿宋_GB2312" w:eastAsia="仿宋_GB2312"/>
          <w:sz w:val="28"/>
          <w:lang w:val="en-US" w:eastAsia="zh-CN"/>
        </w:rPr>
        <w:t>3</w:t>
      </w:r>
      <w:r>
        <w:rPr>
          <w:rFonts w:hint="eastAsia" w:ascii="仿宋_GB2312" w:eastAsia="仿宋_GB2312"/>
          <w:sz w:val="28"/>
          <w:lang w:val="zh-CN"/>
        </w:rPr>
        <w:t>）</w:t>
      </w:r>
      <w:r>
        <w:rPr>
          <w:rFonts w:ascii="仿宋_GB2312" w:eastAsia="仿宋_GB2312"/>
          <w:sz w:val="28"/>
          <w:lang w:val="zh-CN"/>
        </w:rPr>
        <w:t>检查项目受益人的满意程度。</w:t>
      </w:r>
    </w:p>
    <w:p>
      <w:pPr>
        <w:pStyle w:val="4"/>
        <w:bidi w:val="0"/>
        <w:rPr>
          <w:rFonts w:hint="eastAsia"/>
          <w:sz w:val="28"/>
          <w:szCs w:val="28"/>
          <w:lang w:val="en-US" w:eastAsia="zh-CN"/>
        </w:rPr>
      </w:pPr>
      <w:bookmarkStart w:id="15" w:name="_Toc31304"/>
      <w:r>
        <w:rPr>
          <w:rFonts w:hint="eastAsia"/>
          <w:sz w:val="28"/>
          <w:szCs w:val="28"/>
          <w:lang w:val="en-US" w:eastAsia="zh-CN"/>
        </w:rPr>
        <w:t>2、评价抽样情况概述</w:t>
      </w:r>
      <w:bookmarkEnd w:id="15"/>
    </w:p>
    <w:p>
      <w:pPr>
        <w:tabs>
          <w:tab w:val="left" w:pos="900"/>
        </w:tabs>
        <w:autoSpaceDE w:val="0"/>
        <w:autoSpaceDN w:val="0"/>
        <w:adjustRightInd w:val="0"/>
        <w:spacing w:line="540" w:lineRule="exact"/>
        <w:rPr>
          <w:rFonts w:ascii="仿宋_GB2312" w:eastAsia="仿宋_GB2312"/>
          <w:b/>
          <w:bCs/>
          <w:kern w:val="0"/>
          <w:sz w:val="28"/>
          <w:lang w:val="zh-CN"/>
        </w:rPr>
      </w:pPr>
      <w:r>
        <w:rPr>
          <w:rFonts w:hint="eastAsia" w:ascii="仿宋_GB2312" w:eastAsia="仿宋_GB2312"/>
          <w:b/>
          <w:bCs/>
          <w:kern w:val="0"/>
          <w:sz w:val="28"/>
          <w:lang w:val="zh-CN"/>
        </w:rPr>
        <w:t>（</w:t>
      </w:r>
      <w:r>
        <w:rPr>
          <w:rFonts w:hint="eastAsia" w:ascii="仿宋_GB2312" w:eastAsia="仿宋_GB2312"/>
          <w:b/>
          <w:bCs/>
          <w:kern w:val="0"/>
          <w:sz w:val="28"/>
          <w:lang w:val="en-US" w:eastAsia="zh-CN"/>
        </w:rPr>
        <w:t>1</w:t>
      </w:r>
      <w:r>
        <w:rPr>
          <w:rFonts w:hint="eastAsia" w:ascii="仿宋_GB2312" w:eastAsia="仿宋_GB2312"/>
          <w:b/>
          <w:bCs/>
          <w:kern w:val="0"/>
          <w:sz w:val="28"/>
          <w:lang w:val="zh-CN"/>
        </w:rPr>
        <w:t>）查阅档案资料</w:t>
      </w:r>
    </w:p>
    <w:p>
      <w:pPr>
        <w:numPr>
          <w:ilvl w:val="0"/>
          <w:numId w:val="0"/>
        </w:numPr>
        <w:autoSpaceDE w:val="0"/>
        <w:autoSpaceDN w:val="0"/>
        <w:adjustRightInd w:val="0"/>
        <w:spacing w:line="540" w:lineRule="exact"/>
        <w:ind w:leftChars="0"/>
        <w:rPr>
          <w:rFonts w:ascii="仿宋_GB2312" w:eastAsia="仿宋_GB2312"/>
          <w:b w:val="0"/>
          <w:bCs w:val="0"/>
          <w:kern w:val="0"/>
          <w:sz w:val="28"/>
          <w:lang w:val="zh-CN"/>
        </w:rPr>
      </w:pPr>
      <w:r>
        <w:rPr>
          <w:rFonts w:hint="eastAsia" w:ascii="仿宋_GB2312" w:eastAsia="仿宋_GB2312"/>
          <w:b w:val="0"/>
          <w:bCs w:val="0"/>
          <w:kern w:val="0"/>
          <w:sz w:val="28"/>
          <w:lang w:val="zh-CN"/>
        </w:rPr>
        <w:t>①湖北省水利厅鄂水利复【</w:t>
      </w:r>
      <w:r>
        <w:rPr>
          <w:rFonts w:hint="eastAsia" w:ascii="仿宋_GB2312" w:eastAsia="仿宋_GB2312"/>
          <w:b w:val="0"/>
          <w:bCs w:val="0"/>
          <w:kern w:val="0"/>
          <w:sz w:val="28"/>
          <w:lang w:val="en-US" w:eastAsia="zh-CN"/>
        </w:rPr>
        <w:t>2017】68号《省水利厅关于嘉鱼县余码（峡港）河治理工程初步设计报告的批复》文件</w:t>
      </w:r>
      <w:r>
        <w:rPr>
          <w:rFonts w:ascii="仿宋_GB2312" w:eastAsia="仿宋_GB2312"/>
          <w:b w:val="0"/>
          <w:bCs w:val="0"/>
          <w:kern w:val="0"/>
          <w:sz w:val="28"/>
          <w:lang w:val="zh-CN"/>
        </w:rPr>
        <w:t>。</w:t>
      </w:r>
    </w:p>
    <w:p>
      <w:pPr>
        <w:numPr>
          <w:ilvl w:val="0"/>
          <w:numId w:val="0"/>
        </w:numPr>
        <w:autoSpaceDE w:val="0"/>
        <w:autoSpaceDN w:val="0"/>
        <w:adjustRightInd w:val="0"/>
        <w:spacing w:line="540" w:lineRule="exact"/>
        <w:ind w:leftChars="0"/>
        <w:rPr>
          <w:rFonts w:ascii="仿宋_GB2312" w:eastAsia="仿宋_GB2312"/>
          <w:b w:val="0"/>
          <w:bCs w:val="0"/>
          <w:kern w:val="0"/>
          <w:sz w:val="28"/>
          <w:lang w:val="zh-CN"/>
        </w:rPr>
      </w:pPr>
      <w:r>
        <w:rPr>
          <w:rFonts w:hint="eastAsia" w:ascii="仿宋_GB2312" w:eastAsia="仿宋_GB2312"/>
          <w:b w:val="0"/>
          <w:bCs w:val="0"/>
          <w:kern w:val="0"/>
          <w:sz w:val="28"/>
          <w:lang w:val="zh-CN"/>
        </w:rPr>
        <w:t>②</w:t>
      </w:r>
      <w:r>
        <w:rPr>
          <w:rFonts w:ascii="仿宋_GB2312" w:eastAsia="仿宋_GB2312"/>
          <w:b w:val="0"/>
          <w:bCs w:val="0"/>
          <w:kern w:val="0"/>
          <w:sz w:val="28"/>
          <w:lang w:val="zh-CN"/>
        </w:rPr>
        <w:t>省财政厅资金拨付文件。</w:t>
      </w:r>
    </w:p>
    <w:p>
      <w:pPr>
        <w:numPr>
          <w:ilvl w:val="0"/>
          <w:numId w:val="0"/>
        </w:numPr>
        <w:autoSpaceDE w:val="0"/>
        <w:autoSpaceDN w:val="0"/>
        <w:adjustRightInd w:val="0"/>
        <w:spacing w:line="540" w:lineRule="exact"/>
        <w:ind w:leftChars="0"/>
        <w:rPr>
          <w:rFonts w:ascii="仿宋_GB2312" w:eastAsia="仿宋_GB2312"/>
          <w:b w:val="0"/>
          <w:bCs w:val="0"/>
          <w:kern w:val="0"/>
          <w:sz w:val="28"/>
          <w:lang w:val="zh-CN"/>
        </w:rPr>
      </w:pPr>
      <w:r>
        <w:rPr>
          <w:rFonts w:hint="eastAsia" w:ascii="仿宋_GB2312" w:eastAsia="仿宋_GB2312"/>
          <w:b w:val="0"/>
          <w:bCs w:val="0"/>
          <w:kern w:val="0"/>
          <w:sz w:val="28"/>
          <w:lang w:val="zh-CN"/>
        </w:rPr>
        <w:t>③</w:t>
      </w:r>
      <w:r>
        <w:rPr>
          <w:rFonts w:ascii="仿宋_GB2312" w:eastAsia="仿宋_GB2312"/>
          <w:b w:val="0"/>
          <w:bCs w:val="0"/>
          <w:kern w:val="0"/>
          <w:sz w:val="28"/>
          <w:lang w:val="zh-CN"/>
        </w:rPr>
        <w:t>工程招投标相关资料。</w:t>
      </w:r>
    </w:p>
    <w:p>
      <w:pPr>
        <w:numPr>
          <w:ilvl w:val="0"/>
          <w:numId w:val="0"/>
        </w:numPr>
        <w:autoSpaceDE w:val="0"/>
        <w:autoSpaceDN w:val="0"/>
        <w:adjustRightInd w:val="0"/>
        <w:spacing w:line="540" w:lineRule="exact"/>
        <w:ind w:leftChars="0"/>
        <w:rPr>
          <w:rFonts w:ascii="仿宋_GB2312" w:eastAsia="仿宋_GB2312"/>
          <w:b w:val="0"/>
          <w:bCs w:val="0"/>
          <w:kern w:val="0"/>
          <w:sz w:val="28"/>
          <w:lang w:val="zh-CN"/>
        </w:rPr>
      </w:pPr>
      <w:r>
        <w:rPr>
          <w:rFonts w:hint="eastAsia" w:ascii="仿宋_GB2312" w:eastAsia="仿宋_GB2312"/>
          <w:b w:val="0"/>
          <w:bCs w:val="0"/>
          <w:kern w:val="0"/>
          <w:sz w:val="28"/>
          <w:lang w:val="zh-CN"/>
        </w:rPr>
        <w:t>④</w:t>
      </w:r>
      <w:r>
        <w:rPr>
          <w:rFonts w:ascii="仿宋_GB2312" w:eastAsia="仿宋_GB2312"/>
          <w:b w:val="0"/>
          <w:bCs w:val="0"/>
          <w:kern w:val="0"/>
          <w:sz w:val="28"/>
          <w:lang w:val="zh-CN"/>
        </w:rPr>
        <w:t>工程建设管理组织设立和工程质量检查情况。</w:t>
      </w:r>
    </w:p>
    <w:p>
      <w:pPr>
        <w:numPr>
          <w:ilvl w:val="0"/>
          <w:numId w:val="0"/>
        </w:numPr>
        <w:autoSpaceDE w:val="0"/>
        <w:autoSpaceDN w:val="0"/>
        <w:adjustRightInd w:val="0"/>
        <w:spacing w:line="540" w:lineRule="exact"/>
        <w:ind w:leftChars="0"/>
        <w:rPr>
          <w:rFonts w:ascii="仿宋_GB2312" w:eastAsia="仿宋_GB2312"/>
          <w:b w:val="0"/>
          <w:bCs w:val="0"/>
          <w:kern w:val="0"/>
          <w:sz w:val="28"/>
          <w:lang w:val="zh-CN"/>
        </w:rPr>
      </w:pPr>
      <w:r>
        <w:rPr>
          <w:rFonts w:hint="eastAsia" w:ascii="仿宋_GB2312" w:eastAsia="仿宋_GB2312"/>
          <w:b w:val="0"/>
          <w:bCs w:val="0"/>
          <w:kern w:val="0"/>
          <w:sz w:val="28"/>
          <w:lang w:val="zh-CN"/>
        </w:rPr>
        <w:t>⑤</w:t>
      </w:r>
      <w:r>
        <w:rPr>
          <w:rFonts w:ascii="仿宋_GB2312" w:eastAsia="仿宋_GB2312"/>
          <w:b w:val="0"/>
          <w:bCs w:val="0"/>
          <w:kern w:val="0"/>
          <w:sz w:val="28"/>
          <w:lang w:val="zh-CN"/>
        </w:rPr>
        <w:t>工程设计合同及工程设计资料、设计变更资料。</w:t>
      </w:r>
    </w:p>
    <w:p>
      <w:pPr>
        <w:numPr>
          <w:ilvl w:val="0"/>
          <w:numId w:val="0"/>
        </w:numPr>
        <w:autoSpaceDE w:val="0"/>
        <w:autoSpaceDN w:val="0"/>
        <w:adjustRightInd w:val="0"/>
        <w:spacing w:line="540" w:lineRule="exact"/>
        <w:ind w:leftChars="0"/>
        <w:rPr>
          <w:rFonts w:ascii="仿宋_GB2312" w:eastAsia="仿宋_GB2312"/>
          <w:b w:val="0"/>
          <w:bCs w:val="0"/>
          <w:kern w:val="0"/>
          <w:sz w:val="28"/>
          <w:lang w:val="zh-CN"/>
        </w:rPr>
      </w:pPr>
      <w:r>
        <w:rPr>
          <w:rFonts w:hint="eastAsia" w:ascii="仿宋_GB2312" w:eastAsia="仿宋_GB2312"/>
          <w:b w:val="0"/>
          <w:bCs w:val="0"/>
          <w:kern w:val="0"/>
          <w:sz w:val="28"/>
          <w:lang w:val="zh-CN"/>
        </w:rPr>
        <w:t>⑥</w:t>
      </w:r>
      <w:r>
        <w:rPr>
          <w:rFonts w:ascii="仿宋_GB2312" w:eastAsia="仿宋_GB2312"/>
          <w:b w:val="0"/>
          <w:bCs w:val="0"/>
          <w:kern w:val="0"/>
          <w:sz w:val="28"/>
          <w:lang w:val="zh-CN"/>
        </w:rPr>
        <w:t>工程建设监理合同及监理工作相关资料。</w:t>
      </w:r>
    </w:p>
    <w:p>
      <w:pPr>
        <w:numPr>
          <w:ilvl w:val="0"/>
          <w:numId w:val="0"/>
        </w:numPr>
        <w:autoSpaceDE w:val="0"/>
        <w:autoSpaceDN w:val="0"/>
        <w:adjustRightInd w:val="0"/>
        <w:spacing w:line="540" w:lineRule="exact"/>
        <w:ind w:leftChars="0"/>
        <w:rPr>
          <w:rFonts w:ascii="仿宋_GB2312" w:eastAsia="仿宋_GB2312"/>
          <w:b w:val="0"/>
          <w:bCs w:val="0"/>
          <w:kern w:val="0"/>
          <w:sz w:val="28"/>
          <w:lang w:val="zh-CN"/>
        </w:rPr>
      </w:pPr>
      <w:r>
        <w:rPr>
          <w:rFonts w:hint="eastAsia" w:ascii="仿宋_GB2312" w:eastAsia="仿宋_GB2312"/>
          <w:b w:val="0"/>
          <w:bCs w:val="0"/>
          <w:kern w:val="0"/>
          <w:sz w:val="28"/>
          <w:lang w:val="zh-CN"/>
        </w:rPr>
        <w:t>⑦</w:t>
      </w:r>
      <w:r>
        <w:rPr>
          <w:rFonts w:ascii="仿宋_GB2312" w:eastAsia="仿宋_GB2312"/>
          <w:b w:val="0"/>
          <w:bCs w:val="0"/>
          <w:kern w:val="0"/>
          <w:sz w:val="28"/>
          <w:lang w:val="zh-CN"/>
        </w:rPr>
        <w:t>工程施工合同及相关资料。</w:t>
      </w:r>
    </w:p>
    <w:p>
      <w:pPr>
        <w:numPr>
          <w:ilvl w:val="0"/>
          <w:numId w:val="0"/>
        </w:numPr>
        <w:autoSpaceDE w:val="0"/>
        <w:autoSpaceDN w:val="0"/>
        <w:adjustRightInd w:val="0"/>
        <w:spacing w:line="540" w:lineRule="exact"/>
        <w:ind w:leftChars="0"/>
        <w:rPr>
          <w:rFonts w:ascii="仿宋_GB2312" w:eastAsia="仿宋_GB2312"/>
          <w:b w:val="0"/>
          <w:bCs w:val="0"/>
          <w:kern w:val="0"/>
          <w:sz w:val="28"/>
          <w:lang w:val="zh-CN"/>
        </w:rPr>
      </w:pPr>
      <w:r>
        <w:rPr>
          <w:rFonts w:hint="eastAsia" w:ascii="仿宋_GB2312" w:eastAsia="仿宋_GB2312"/>
          <w:b w:val="0"/>
          <w:bCs w:val="0"/>
          <w:kern w:val="0"/>
          <w:sz w:val="28"/>
          <w:lang w:val="zh-CN"/>
        </w:rPr>
        <w:t>⑧</w:t>
      </w:r>
      <w:r>
        <w:rPr>
          <w:rFonts w:ascii="仿宋_GB2312" w:eastAsia="仿宋_GB2312"/>
          <w:b w:val="0"/>
          <w:bCs w:val="0"/>
          <w:kern w:val="0"/>
          <w:sz w:val="28"/>
          <w:lang w:val="zh-CN"/>
        </w:rPr>
        <w:t>工程质量监督及工程质量管理相关资料。</w:t>
      </w:r>
    </w:p>
    <w:p>
      <w:pPr>
        <w:numPr>
          <w:ilvl w:val="0"/>
          <w:numId w:val="0"/>
        </w:numPr>
        <w:autoSpaceDE w:val="0"/>
        <w:autoSpaceDN w:val="0"/>
        <w:adjustRightInd w:val="0"/>
        <w:spacing w:line="540" w:lineRule="exact"/>
        <w:ind w:leftChars="0"/>
        <w:rPr>
          <w:rFonts w:ascii="仿宋_GB2312" w:eastAsia="仿宋_GB2312"/>
          <w:b w:val="0"/>
          <w:bCs w:val="0"/>
          <w:kern w:val="0"/>
          <w:sz w:val="28"/>
          <w:lang w:val="zh-CN"/>
        </w:rPr>
      </w:pPr>
      <w:r>
        <w:rPr>
          <w:rFonts w:hint="eastAsia" w:ascii="仿宋_GB2312" w:eastAsia="仿宋_GB2312"/>
          <w:b w:val="0"/>
          <w:bCs w:val="0"/>
          <w:kern w:val="0"/>
          <w:sz w:val="28"/>
          <w:lang w:val="zh-CN"/>
        </w:rPr>
        <w:t>⑨</w:t>
      </w:r>
      <w:r>
        <w:rPr>
          <w:rFonts w:ascii="仿宋_GB2312" w:eastAsia="仿宋_GB2312"/>
          <w:b w:val="0"/>
          <w:bCs w:val="0"/>
          <w:kern w:val="0"/>
          <w:sz w:val="28"/>
          <w:lang w:val="zh-CN"/>
        </w:rPr>
        <w:t>项目建设规章制度、工程运行管理等相关资料。</w:t>
      </w:r>
    </w:p>
    <w:p>
      <w:pPr>
        <w:autoSpaceDE w:val="0"/>
        <w:autoSpaceDN w:val="0"/>
        <w:adjustRightInd w:val="0"/>
        <w:spacing w:line="540" w:lineRule="exact"/>
        <w:rPr>
          <w:rFonts w:ascii="仿宋_GB2312" w:eastAsia="仿宋_GB2312"/>
          <w:b/>
          <w:bCs/>
          <w:sz w:val="28"/>
          <w:lang w:val="zh-CN"/>
        </w:rPr>
      </w:pPr>
      <w:r>
        <w:rPr>
          <w:rFonts w:hint="eastAsia" w:ascii="仿宋_GB2312" w:eastAsia="仿宋_GB2312"/>
          <w:b/>
          <w:bCs/>
          <w:sz w:val="28"/>
          <w:lang w:val="zh-CN"/>
        </w:rPr>
        <w:t>（</w:t>
      </w:r>
      <w:r>
        <w:rPr>
          <w:rFonts w:hint="eastAsia" w:ascii="仿宋_GB2312" w:eastAsia="仿宋_GB2312"/>
          <w:b/>
          <w:bCs/>
          <w:sz w:val="28"/>
          <w:lang w:val="en-US" w:eastAsia="zh-CN"/>
        </w:rPr>
        <w:t>2</w:t>
      </w:r>
      <w:r>
        <w:rPr>
          <w:rFonts w:hint="eastAsia" w:ascii="仿宋_GB2312" w:eastAsia="仿宋_GB2312"/>
          <w:b/>
          <w:bCs/>
          <w:sz w:val="28"/>
          <w:lang w:val="zh-CN"/>
        </w:rPr>
        <w:t>）审核项目建设相关内容</w:t>
      </w:r>
    </w:p>
    <w:p>
      <w:pPr>
        <w:autoSpaceDE w:val="0"/>
        <w:autoSpaceDN w:val="0"/>
        <w:adjustRightInd w:val="0"/>
        <w:spacing w:line="540" w:lineRule="exact"/>
        <w:rPr>
          <w:rFonts w:ascii="仿宋_GB2312" w:eastAsia="仿宋_GB2312"/>
          <w:sz w:val="28"/>
          <w:lang w:val="zh-CN"/>
        </w:rPr>
      </w:pPr>
      <w:r>
        <w:rPr>
          <w:rFonts w:hint="eastAsia" w:ascii="仿宋_GB2312" w:eastAsia="仿宋_GB2312"/>
          <w:sz w:val="28"/>
          <w:lang w:val="zh-CN"/>
        </w:rPr>
        <w:t>①</w:t>
      </w:r>
      <w:r>
        <w:rPr>
          <w:rFonts w:ascii="仿宋_GB2312" w:eastAsia="仿宋_GB2312"/>
          <w:sz w:val="28"/>
          <w:lang w:val="zh-CN"/>
        </w:rPr>
        <w:t>审核项目建设范围、内容与合同约定的建设范围、内容的一致性；</w:t>
      </w:r>
    </w:p>
    <w:p>
      <w:pPr>
        <w:autoSpaceDE w:val="0"/>
        <w:autoSpaceDN w:val="0"/>
        <w:adjustRightInd w:val="0"/>
        <w:spacing w:line="540" w:lineRule="exact"/>
        <w:rPr>
          <w:rFonts w:ascii="仿宋_GB2312" w:eastAsia="仿宋_GB2312"/>
          <w:sz w:val="28"/>
          <w:lang w:val="zh-CN"/>
        </w:rPr>
      </w:pPr>
      <w:r>
        <w:rPr>
          <w:rFonts w:hint="eastAsia" w:ascii="仿宋_GB2312" w:eastAsia="仿宋_GB2312"/>
          <w:sz w:val="28"/>
          <w:lang w:val="zh-CN"/>
        </w:rPr>
        <w:t>②</w:t>
      </w:r>
      <w:r>
        <w:rPr>
          <w:rFonts w:ascii="仿宋_GB2312" w:eastAsia="仿宋_GB2312"/>
          <w:sz w:val="28"/>
          <w:lang w:val="zh-CN"/>
        </w:rPr>
        <w:t>审核项目资金，重点关注到位情况、下拨情况、是否专款专用、专账管理、手续是否齐全；</w:t>
      </w:r>
    </w:p>
    <w:p>
      <w:pPr>
        <w:autoSpaceDE w:val="0"/>
        <w:autoSpaceDN w:val="0"/>
        <w:adjustRightInd w:val="0"/>
        <w:spacing w:line="540" w:lineRule="exact"/>
        <w:rPr>
          <w:rFonts w:ascii="仿宋_GB2312" w:eastAsia="仿宋_GB2312"/>
          <w:sz w:val="28"/>
          <w:lang w:val="zh-CN"/>
        </w:rPr>
      </w:pPr>
      <w:r>
        <w:rPr>
          <w:rFonts w:hint="eastAsia" w:ascii="仿宋_GB2312" w:eastAsia="仿宋_GB2312"/>
          <w:sz w:val="28"/>
          <w:lang w:val="zh-CN"/>
        </w:rPr>
        <w:t>③</w:t>
      </w:r>
      <w:r>
        <w:rPr>
          <w:rFonts w:ascii="仿宋_GB2312" w:eastAsia="仿宋_GB2312"/>
          <w:sz w:val="28"/>
          <w:lang w:val="zh-CN"/>
        </w:rPr>
        <w:t>审核项目工程的建设情况，工程项目是否达到设计要求；</w:t>
      </w:r>
    </w:p>
    <w:p>
      <w:pPr>
        <w:autoSpaceDE w:val="0"/>
        <w:autoSpaceDN w:val="0"/>
        <w:adjustRightInd w:val="0"/>
        <w:spacing w:line="540" w:lineRule="exact"/>
        <w:rPr>
          <w:rFonts w:ascii="仿宋_GB2312" w:eastAsia="仿宋_GB2312"/>
          <w:sz w:val="28"/>
          <w:lang w:val="zh-CN"/>
        </w:rPr>
      </w:pPr>
      <w:r>
        <w:rPr>
          <w:rFonts w:hint="eastAsia" w:ascii="仿宋_GB2312" w:eastAsia="仿宋_GB2312"/>
          <w:sz w:val="28"/>
          <w:lang w:val="zh-CN"/>
        </w:rPr>
        <w:t>④</w:t>
      </w:r>
      <w:r>
        <w:rPr>
          <w:rFonts w:ascii="仿宋_GB2312" w:eastAsia="仿宋_GB2312"/>
          <w:sz w:val="28"/>
          <w:lang w:val="zh-CN"/>
        </w:rPr>
        <w:t>审核项目程序是否合法合规，是否按国家有关法律、法规执行；</w:t>
      </w:r>
    </w:p>
    <w:p>
      <w:pPr>
        <w:autoSpaceDE w:val="0"/>
        <w:autoSpaceDN w:val="0"/>
        <w:adjustRightInd w:val="0"/>
        <w:spacing w:line="540" w:lineRule="exact"/>
        <w:rPr>
          <w:rFonts w:ascii="仿宋_GB2312" w:eastAsia="仿宋_GB2312"/>
          <w:sz w:val="28"/>
          <w:lang w:val="zh-CN"/>
        </w:rPr>
      </w:pPr>
      <w:r>
        <w:rPr>
          <w:rFonts w:hint="eastAsia" w:ascii="仿宋_GB2312" w:eastAsia="仿宋_GB2312"/>
          <w:sz w:val="28"/>
          <w:lang w:val="zh-CN"/>
        </w:rPr>
        <w:t>⑤</w:t>
      </w:r>
      <w:r>
        <w:rPr>
          <w:rFonts w:ascii="仿宋_GB2312" w:eastAsia="仿宋_GB2312"/>
          <w:sz w:val="28"/>
          <w:lang w:val="zh-CN"/>
        </w:rPr>
        <w:t>审核申报资料、合同、约定、工程量及计价是否真实、合法、准确；</w:t>
      </w:r>
    </w:p>
    <w:p>
      <w:pPr>
        <w:autoSpaceDE w:val="0"/>
        <w:autoSpaceDN w:val="0"/>
        <w:adjustRightInd w:val="0"/>
        <w:spacing w:line="540" w:lineRule="exact"/>
        <w:rPr>
          <w:rFonts w:ascii="仿宋_GB2312" w:eastAsia="仿宋_GB2312"/>
          <w:sz w:val="28"/>
          <w:lang w:val="zh-CN"/>
        </w:rPr>
      </w:pPr>
      <w:r>
        <w:rPr>
          <w:rFonts w:hint="eastAsia" w:ascii="仿宋_GB2312" w:eastAsia="仿宋_GB2312"/>
          <w:sz w:val="28"/>
          <w:lang w:val="zh-CN"/>
        </w:rPr>
        <w:t>⑥</w:t>
      </w:r>
      <w:r>
        <w:rPr>
          <w:rFonts w:ascii="仿宋_GB2312" w:eastAsia="仿宋_GB2312"/>
          <w:sz w:val="28"/>
          <w:lang w:val="zh-CN"/>
        </w:rPr>
        <w:t>实地拍照，以确认项目实体实施程度；</w:t>
      </w:r>
    </w:p>
    <w:p>
      <w:pPr>
        <w:autoSpaceDE w:val="0"/>
        <w:autoSpaceDN w:val="0"/>
        <w:adjustRightInd w:val="0"/>
        <w:spacing w:line="540" w:lineRule="exact"/>
        <w:rPr>
          <w:rFonts w:ascii="仿宋_GB2312" w:eastAsia="仿宋_GB2312"/>
          <w:sz w:val="28"/>
          <w:lang w:val="zh-CN"/>
        </w:rPr>
      </w:pPr>
      <w:r>
        <w:rPr>
          <w:rFonts w:hint="eastAsia" w:ascii="仿宋_GB2312" w:eastAsia="仿宋_GB2312"/>
          <w:sz w:val="28"/>
          <w:lang w:val="zh-CN"/>
        </w:rPr>
        <w:t>⑦</w:t>
      </w:r>
      <w:r>
        <w:rPr>
          <w:rFonts w:ascii="仿宋_GB2312" w:eastAsia="仿宋_GB2312"/>
          <w:sz w:val="28"/>
          <w:lang w:val="zh-CN"/>
        </w:rPr>
        <w:t>对项目的社会效益进行重点关注，做好调查研究工作，发放调查问卷并回收整理、分析；</w:t>
      </w:r>
    </w:p>
    <w:p>
      <w:pPr>
        <w:autoSpaceDE w:val="0"/>
        <w:autoSpaceDN w:val="0"/>
        <w:adjustRightInd w:val="0"/>
        <w:spacing w:line="540" w:lineRule="exact"/>
        <w:rPr>
          <w:rFonts w:ascii="仿宋_GB2312" w:eastAsia="仿宋_GB2312"/>
          <w:b/>
          <w:bCs w:val="0"/>
          <w:sz w:val="28"/>
          <w:lang w:val="zh-CN"/>
        </w:rPr>
      </w:pPr>
      <w:r>
        <w:rPr>
          <w:rFonts w:hint="eastAsia" w:ascii="仿宋_GB2312" w:eastAsia="仿宋_GB2312"/>
          <w:b/>
          <w:bCs w:val="0"/>
          <w:sz w:val="28"/>
          <w:lang w:val="zh-CN"/>
        </w:rPr>
        <w:t>（</w:t>
      </w:r>
      <w:r>
        <w:rPr>
          <w:rFonts w:hint="eastAsia" w:ascii="仿宋_GB2312" w:eastAsia="仿宋_GB2312"/>
          <w:b/>
          <w:bCs w:val="0"/>
          <w:sz w:val="28"/>
          <w:lang w:val="en-US" w:eastAsia="zh-CN"/>
        </w:rPr>
        <w:t>3</w:t>
      </w:r>
      <w:r>
        <w:rPr>
          <w:rFonts w:hint="eastAsia" w:ascii="仿宋_GB2312" w:eastAsia="仿宋_GB2312"/>
          <w:b/>
          <w:bCs w:val="0"/>
          <w:sz w:val="28"/>
          <w:lang w:val="zh-CN"/>
        </w:rPr>
        <w:t>）</w:t>
      </w:r>
      <w:r>
        <w:rPr>
          <w:rFonts w:ascii="仿宋_GB2312" w:eastAsia="仿宋_GB2312"/>
          <w:b/>
          <w:bCs w:val="0"/>
          <w:sz w:val="28"/>
          <w:lang w:val="zh-CN"/>
        </w:rPr>
        <w:t>绩效考评</w:t>
      </w:r>
      <w:r>
        <w:rPr>
          <w:rFonts w:hint="eastAsia" w:ascii="仿宋_GB2312" w:eastAsia="仿宋_GB2312"/>
          <w:b/>
          <w:bCs w:val="0"/>
          <w:sz w:val="28"/>
          <w:lang w:val="zh-CN"/>
        </w:rPr>
        <w:t>具体</w:t>
      </w:r>
      <w:r>
        <w:rPr>
          <w:rFonts w:ascii="仿宋_GB2312" w:eastAsia="仿宋_GB2312"/>
          <w:b/>
          <w:bCs w:val="0"/>
          <w:sz w:val="28"/>
          <w:lang w:val="zh-CN"/>
        </w:rPr>
        <w:t>实施过程和内容</w:t>
      </w:r>
    </w:p>
    <w:p>
      <w:pPr>
        <w:autoSpaceDE w:val="0"/>
        <w:autoSpaceDN w:val="0"/>
        <w:adjustRightInd w:val="0"/>
        <w:spacing w:line="540" w:lineRule="exact"/>
        <w:jc w:val="left"/>
        <w:rPr>
          <w:rFonts w:ascii="仿宋_GB2312" w:eastAsia="仿宋_GB2312"/>
          <w:kern w:val="0"/>
          <w:sz w:val="28"/>
          <w:lang w:val="zh-CN"/>
        </w:rPr>
      </w:pPr>
      <w:r>
        <w:rPr>
          <w:rFonts w:hint="eastAsia" w:ascii="仿宋_GB2312" w:eastAsia="仿宋_GB2312"/>
          <w:sz w:val="28"/>
          <w:lang w:val="zh-CN"/>
        </w:rPr>
        <w:t>①</w:t>
      </w:r>
      <w:r>
        <w:rPr>
          <w:rFonts w:ascii="仿宋_GB2312" w:eastAsia="仿宋_GB2312"/>
          <w:sz w:val="28"/>
          <w:lang w:val="zh-CN"/>
        </w:rPr>
        <w:t>前期准备：收集项目的相关资料，根据相关资料及形成的项目基础数据表，制定项目绩效评价指标体系及评价得分表</w:t>
      </w:r>
      <w:r>
        <w:rPr>
          <w:rFonts w:ascii="仿宋_GB2312" w:eastAsia="仿宋_GB2312"/>
          <w:kern w:val="0"/>
          <w:sz w:val="28"/>
          <w:lang w:val="zh-CN"/>
        </w:rPr>
        <w:t>。</w:t>
      </w:r>
    </w:p>
    <w:p>
      <w:pPr>
        <w:autoSpaceDE w:val="0"/>
        <w:autoSpaceDN w:val="0"/>
        <w:adjustRightInd w:val="0"/>
        <w:spacing w:line="540" w:lineRule="exact"/>
        <w:rPr>
          <w:rFonts w:ascii="仿宋_GB2312" w:eastAsia="仿宋_GB2312"/>
          <w:sz w:val="28"/>
          <w:lang w:val="zh-CN"/>
        </w:rPr>
      </w:pPr>
      <w:r>
        <w:rPr>
          <w:rFonts w:hint="eastAsia" w:ascii="仿宋_GB2312" w:eastAsia="仿宋_GB2312"/>
          <w:kern w:val="0"/>
          <w:sz w:val="28"/>
          <w:lang w:val="zh-CN"/>
        </w:rPr>
        <w:t>②</w:t>
      </w:r>
      <w:r>
        <w:rPr>
          <w:rFonts w:ascii="仿宋_GB2312" w:eastAsia="仿宋_GB2312"/>
          <w:sz w:val="28"/>
          <w:lang w:val="zh-CN"/>
        </w:rPr>
        <w:t>组织实施</w:t>
      </w:r>
      <w:r>
        <w:rPr>
          <w:rFonts w:hint="eastAsia" w:ascii="仿宋_GB2312" w:eastAsia="仿宋_GB2312"/>
          <w:sz w:val="28"/>
          <w:lang w:val="zh-CN"/>
        </w:rPr>
        <w:t>：</w:t>
      </w:r>
      <w:r>
        <w:rPr>
          <w:rFonts w:ascii="仿宋_GB2312" w:eastAsia="仿宋_GB2312"/>
          <w:sz w:val="28"/>
          <w:lang w:val="zh-CN"/>
        </w:rPr>
        <w:t>对收集的资料进行整理、分类、分析，提出补充资料，修订完善绩效评价指标体系。进行实地拍照，以确认项目实体实施程度、工程外观形象及工程质量状况。发放调查问卷并回收整理、分析，对工程建设和管理以及社会效益进行社会调查总结。</w:t>
      </w:r>
    </w:p>
    <w:p>
      <w:pPr>
        <w:autoSpaceDE w:val="0"/>
        <w:autoSpaceDN w:val="0"/>
        <w:adjustRightInd w:val="0"/>
        <w:spacing w:line="540" w:lineRule="exact"/>
        <w:jc w:val="left"/>
        <w:rPr>
          <w:rFonts w:ascii="仿宋_GB2312" w:eastAsia="仿宋_GB2312"/>
          <w:sz w:val="28"/>
          <w:lang w:val="zh-CN"/>
        </w:rPr>
      </w:pPr>
      <w:r>
        <w:rPr>
          <w:rFonts w:hint="eastAsia" w:ascii="仿宋_GB2312" w:eastAsia="仿宋_GB2312"/>
          <w:sz w:val="28"/>
          <w:lang w:val="zh-CN"/>
        </w:rPr>
        <w:t>③</w:t>
      </w:r>
      <w:r>
        <w:rPr>
          <w:rFonts w:ascii="仿宋_GB2312" w:eastAsia="仿宋_GB2312"/>
          <w:sz w:val="28"/>
          <w:lang w:val="zh-CN"/>
        </w:rPr>
        <w:t>分析评价：围绕制定的绩效评价指标体系的各个指标分层次、节次逐个进行分析评价，对共性指标主要是查阅相关资料、审查账表进行分析评定；对个性指标采取座谈、走访、调查问卷等方式进行分析评定。</w:t>
      </w:r>
    </w:p>
    <w:p>
      <w:pPr>
        <w:autoSpaceDE w:val="0"/>
        <w:autoSpaceDN w:val="0"/>
        <w:adjustRightInd w:val="0"/>
        <w:spacing w:line="540" w:lineRule="exact"/>
        <w:jc w:val="left"/>
        <w:rPr>
          <w:rFonts w:ascii="仿宋_GB2312" w:eastAsia="仿宋_GB2312"/>
          <w:sz w:val="28"/>
          <w:lang w:val="zh-CN"/>
        </w:rPr>
      </w:pPr>
      <w:r>
        <w:rPr>
          <w:rFonts w:hint="eastAsia" w:ascii="仿宋_GB2312" w:eastAsia="仿宋_GB2312"/>
          <w:b/>
          <w:bCs/>
          <w:sz w:val="28"/>
          <w:lang w:val="zh-CN"/>
        </w:rPr>
        <w:t>（</w:t>
      </w:r>
      <w:r>
        <w:rPr>
          <w:rFonts w:hint="eastAsia" w:ascii="仿宋_GB2312" w:eastAsia="仿宋_GB2312"/>
          <w:b/>
          <w:bCs/>
          <w:sz w:val="28"/>
          <w:lang w:val="en-US" w:eastAsia="zh-CN"/>
        </w:rPr>
        <w:t>4</w:t>
      </w:r>
      <w:r>
        <w:rPr>
          <w:rFonts w:hint="eastAsia" w:ascii="仿宋_GB2312" w:eastAsia="仿宋_GB2312"/>
          <w:b/>
          <w:bCs/>
          <w:sz w:val="28"/>
          <w:lang w:val="zh-CN"/>
        </w:rPr>
        <w:t>）</w:t>
      </w:r>
      <w:r>
        <w:rPr>
          <w:rFonts w:ascii="仿宋_GB2312" w:eastAsia="仿宋_GB2312"/>
          <w:b/>
          <w:bCs/>
          <w:sz w:val="28"/>
          <w:lang w:val="zh-CN"/>
        </w:rPr>
        <w:t>出具绩效评价报告</w:t>
      </w:r>
      <w:r>
        <w:rPr>
          <w:rFonts w:hint="eastAsia" w:ascii="仿宋_GB2312" w:eastAsia="仿宋_GB2312"/>
          <w:sz w:val="28"/>
          <w:lang w:val="zh-CN"/>
        </w:rPr>
        <w:t>：</w:t>
      </w:r>
      <w:r>
        <w:rPr>
          <w:rFonts w:ascii="仿宋_GB2312" w:eastAsia="仿宋_GB2312"/>
          <w:sz w:val="28"/>
          <w:lang w:val="zh-CN"/>
        </w:rPr>
        <w:t>根据评价指标体系与评分标准，得出评价结论，撰写评价报告初稿。将初稿发送给</w:t>
      </w:r>
      <w:r>
        <w:rPr>
          <w:rFonts w:hint="eastAsia" w:ascii="仿宋_GB2312" w:eastAsia="仿宋_GB2312"/>
          <w:sz w:val="28"/>
          <w:lang w:val="zh-CN"/>
        </w:rPr>
        <w:t>嘉鱼</w:t>
      </w:r>
      <w:r>
        <w:rPr>
          <w:rFonts w:ascii="仿宋_GB2312" w:eastAsia="仿宋_GB2312"/>
          <w:sz w:val="28"/>
          <w:lang w:val="zh-CN"/>
        </w:rPr>
        <w:t>县财政局、</w:t>
      </w:r>
      <w:r>
        <w:rPr>
          <w:rFonts w:hint="eastAsia" w:ascii="仿宋_GB2312" w:eastAsia="仿宋_GB2312"/>
          <w:sz w:val="28"/>
          <w:lang w:val="zh-CN"/>
        </w:rPr>
        <w:t>嘉鱼</w:t>
      </w:r>
      <w:r>
        <w:rPr>
          <w:rFonts w:ascii="仿宋_GB2312" w:eastAsia="仿宋_GB2312"/>
          <w:sz w:val="28"/>
          <w:lang w:val="zh-CN"/>
        </w:rPr>
        <w:t>县</w:t>
      </w:r>
      <w:r>
        <w:rPr>
          <w:rFonts w:hint="eastAsia" w:ascii="仿宋_GB2312" w:eastAsia="仿宋_GB2312"/>
          <w:sz w:val="28"/>
          <w:lang w:val="zh-CN"/>
        </w:rPr>
        <w:t>水利局</w:t>
      </w:r>
      <w:r>
        <w:rPr>
          <w:rFonts w:ascii="仿宋_GB2312" w:eastAsia="仿宋_GB2312"/>
          <w:sz w:val="28"/>
          <w:lang w:val="zh-CN"/>
        </w:rPr>
        <w:t>及项目建设单位审阅，根据反馈意见对评价报告初稿进行修改，最终完成评价报告并出具正式绩效评价报告。</w:t>
      </w:r>
    </w:p>
    <w:p>
      <w:pPr>
        <w:autoSpaceDE w:val="0"/>
        <w:autoSpaceDN w:val="0"/>
        <w:adjustRightInd w:val="0"/>
        <w:spacing w:line="540" w:lineRule="exact"/>
        <w:rPr>
          <w:rFonts w:hint="default" w:ascii="仿宋_GB2312" w:eastAsia="仿宋_GB2312"/>
          <w:kern w:val="0"/>
          <w:sz w:val="28"/>
          <w:lang w:val="en-US" w:eastAsia="zh-CN"/>
        </w:rPr>
      </w:pPr>
      <w:r>
        <w:rPr>
          <w:rFonts w:hint="eastAsia" w:ascii="仿宋_GB2312" w:eastAsia="仿宋_GB2312"/>
          <w:b/>
          <w:bCs/>
          <w:sz w:val="28"/>
          <w:lang w:val="zh-CN"/>
        </w:rPr>
        <w:t>（</w:t>
      </w:r>
      <w:r>
        <w:rPr>
          <w:rFonts w:hint="eastAsia" w:ascii="仿宋_GB2312" w:eastAsia="仿宋_GB2312"/>
          <w:b/>
          <w:bCs/>
          <w:sz w:val="28"/>
          <w:lang w:val="en-US" w:eastAsia="zh-CN"/>
        </w:rPr>
        <w:t>5</w:t>
      </w:r>
      <w:r>
        <w:rPr>
          <w:rFonts w:hint="eastAsia" w:ascii="仿宋_GB2312" w:eastAsia="仿宋_GB2312"/>
          <w:b/>
          <w:bCs/>
          <w:sz w:val="28"/>
          <w:lang w:val="zh-CN"/>
        </w:rPr>
        <w:t>）</w:t>
      </w:r>
      <w:r>
        <w:rPr>
          <w:rFonts w:ascii="仿宋_GB2312" w:eastAsia="仿宋_GB2312"/>
          <w:b/>
          <w:bCs/>
          <w:sz w:val="28"/>
          <w:lang w:val="zh-CN"/>
        </w:rPr>
        <w:t>归档:</w:t>
      </w:r>
      <w:r>
        <w:rPr>
          <w:rFonts w:ascii="仿宋_GB2312" w:eastAsia="仿宋_GB2312"/>
          <w:sz w:val="28"/>
          <w:lang w:val="zh-CN"/>
        </w:rPr>
        <w:t>对绩效评价工作资料进行整理，完善绩效评价工作底稿并归档。</w:t>
      </w:r>
    </w:p>
    <w:p>
      <w:pPr>
        <w:pStyle w:val="3"/>
        <w:numPr>
          <w:ilvl w:val="0"/>
          <w:numId w:val="1"/>
        </w:numPr>
        <w:bidi w:val="0"/>
        <w:rPr>
          <w:rFonts w:hint="eastAsia"/>
          <w:sz w:val="28"/>
          <w:szCs w:val="28"/>
          <w:lang w:val="en-US" w:eastAsia="zh-CN"/>
        </w:rPr>
      </w:pPr>
      <w:bookmarkStart w:id="16" w:name="_Toc18341"/>
      <w:r>
        <w:rPr>
          <w:rFonts w:hint="eastAsia"/>
          <w:sz w:val="28"/>
          <w:szCs w:val="28"/>
          <w:lang w:val="en-US" w:eastAsia="zh-CN"/>
        </w:rPr>
        <w:t>绩效指标完成情况分析</w:t>
      </w:r>
      <w:bookmarkEnd w:id="16"/>
    </w:p>
    <w:p>
      <w:pPr>
        <w:pStyle w:val="4"/>
        <w:numPr>
          <w:ilvl w:val="0"/>
          <w:numId w:val="3"/>
        </w:numPr>
        <w:bidi w:val="0"/>
        <w:rPr>
          <w:rFonts w:hint="eastAsia"/>
          <w:sz w:val="28"/>
          <w:szCs w:val="28"/>
          <w:lang w:val="en-US" w:eastAsia="zh-CN"/>
        </w:rPr>
      </w:pPr>
      <w:bookmarkStart w:id="17" w:name="_Toc28624"/>
      <w:r>
        <w:rPr>
          <w:rFonts w:hint="eastAsia"/>
          <w:sz w:val="28"/>
          <w:szCs w:val="28"/>
          <w:lang w:val="en-US" w:eastAsia="zh-CN"/>
        </w:rPr>
        <w:t>项目资金情况分析：</w:t>
      </w:r>
      <w:bookmarkEnd w:id="17"/>
    </w:p>
    <w:p>
      <w:pPr>
        <w:numPr>
          <w:ilvl w:val="0"/>
          <w:numId w:val="4"/>
        </w:numPr>
        <w:tabs>
          <w:tab w:val="left" w:pos="625"/>
        </w:tabs>
        <w:autoSpaceDE w:val="0"/>
        <w:autoSpaceDN w:val="0"/>
        <w:adjustRightInd w:val="0"/>
        <w:spacing w:line="540" w:lineRule="exact"/>
        <w:ind w:left="9" w:leftChars="0" w:firstLine="540" w:firstLineChars="192"/>
        <w:jc w:val="left"/>
        <w:rPr>
          <w:rFonts w:hint="eastAsia" w:ascii="仿宋_GB2312" w:eastAsia="仿宋_GB2312"/>
          <w:kern w:val="0"/>
          <w:sz w:val="28"/>
          <w:lang w:val="en-US" w:eastAsia="zh-CN"/>
        </w:rPr>
      </w:pPr>
      <w:r>
        <w:rPr>
          <w:rFonts w:hint="eastAsia"/>
          <w:b/>
          <w:bCs/>
          <w:sz w:val="28"/>
          <w:szCs w:val="28"/>
          <w:lang w:val="en-US" w:eastAsia="zh-CN"/>
        </w:rPr>
        <w:t>资金来源情况：</w:t>
      </w:r>
      <w:r>
        <w:rPr>
          <w:rFonts w:hint="eastAsia" w:ascii="仿宋_GB2312" w:eastAsia="仿宋_GB2312"/>
          <w:kern w:val="0"/>
          <w:sz w:val="28"/>
          <w:lang w:val="en-US" w:eastAsia="zh-CN"/>
        </w:rPr>
        <w:t>该项目批复投资金额为2193.3万元，其中，中央专项资金2004万元，批复文件分别为鄂财农发【2017】88号文1503万元、鄂财农发【2018】81号文501万元，拨付时间分别为2017年12月11日及2018年12月3日；县级财政配套资金189.3万元，批复文件分别为嘉河流【2018】3号文30万元、嘉河流【2018】13号122.3万元、嘉河流【2019】2号文37万元，拨付时间分别为2018年1月23日、2018年9月20日及2019年5月11日。以上中央资金及县级配套资金2193.3万元已全部及时拨付到位。</w:t>
      </w:r>
    </w:p>
    <w:p>
      <w:pPr>
        <w:numPr>
          <w:ilvl w:val="0"/>
          <w:numId w:val="4"/>
        </w:numPr>
        <w:tabs>
          <w:tab w:val="left" w:pos="625"/>
        </w:tabs>
        <w:autoSpaceDE w:val="0"/>
        <w:autoSpaceDN w:val="0"/>
        <w:adjustRightInd w:val="0"/>
        <w:spacing w:line="540" w:lineRule="exact"/>
        <w:ind w:left="9" w:leftChars="0" w:firstLine="537" w:firstLineChars="192"/>
        <w:jc w:val="left"/>
        <w:rPr>
          <w:rFonts w:hint="eastAsia" w:ascii="仿宋_GB2312" w:eastAsia="仿宋_GB2312"/>
          <w:kern w:val="0"/>
          <w:sz w:val="28"/>
          <w:lang w:val="en-US" w:eastAsia="zh-CN"/>
        </w:rPr>
      </w:pPr>
      <w:r>
        <w:rPr>
          <w:rFonts w:hint="eastAsia" w:ascii="仿宋_GB2312" w:eastAsia="仿宋_GB2312"/>
          <w:kern w:val="0"/>
          <w:sz w:val="28"/>
          <w:lang w:val="en-US" w:eastAsia="zh-CN"/>
        </w:rPr>
        <w:t>资金使用情况：截至2019年8月，该项目共计支付费用11566695.60元，结余资金10366300.00元。其中，中央财政资金结余9791186.00元，留存于嘉鱼县财政局零余额账户；县级配套资金结余575118.40元，留存于嘉鱼县河道堤防管理局零余额账户。具体支付情况及分析如下表所示：</w:t>
      </w:r>
    </w:p>
    <w:tbl>
      <w:tblPr>
        <w:tblStyle w:val="11"/>
        <w:tblpPr w:leftFromText="180" w:rightFromText="180" w:vertAnchor="text" w:horzAnchor="page" w:tblpX="1490" w:tblpY="587"/>
        <w:tblOverlap w:val="never"/>
        <w:tblW w:w="10100" w:type="dxa"/>
        <w:tblInd w:w="0" w:type="dxa"/>
        <w:shd w:val="clear" w:color="auto" w:fill="auto"/>
        <w:tblLayout w:type="fixed"/>
        <w:tblCellMar>
          <w:top w:w="0" w:type="dxa"/>
          <w:left w:w="0" w:type="dxa"/>
          <w:bottom w:w="0" w:type="dxa"/>
          <w:right w:w="0" w:type="dxa"/>
        </w:tblCellMar>
      </w:tblPr>
      <w:tblGrid>
        <w:gridCol w:w="336"/>
        <w:gridCol w:w="804"/>
        <w:gridCol w:w="492"/>
        <w:gridCol w:w="1580"/>
        <w:gridCol w:w="1579"/>
        <w:gridCol w:w="2043"/>
        <w:gridCol w:w="1967"/>
        <w:gridCol w:w="1299"/>
      </w:tblGrid>
      <w:tr>
        <w:tblPrEx>
          <w:shd w:val="clear" w:color="auto" w:fill="auto"/>
          <w:tblCellMar>
            <w:top w:w="0" w:type="dxa"/>
            <w:left w:w="0" w:type="dxa"/>
            <w:bottom w:w="0" w:type="dxa"/>
            <w:right w:w="0" w:type="dxa"/>
          </w:tblCellMar>
        </w:tblPrEx>
        <w:trPr>
          <w:trHeight w:val="558" w:hRule="atLeast"/>
        </w:trPr>
        <w:tc>
          <w:tcPr>
            <w:tcW w:w="10100" w:type="dxa"/>
            <w:gridSpan w:val="8"/>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18"/>
                <w:szCs w:val="18"/>
                <w:u w:val="none"/>
              </w:rPr>
            </w:pPr>
            <w:r>
              <w:rPr>
                <w:rFonts w:hint="eastAsia" w:ascii="仿宋_GB2312" w:eastAsia="仿宋_GB2312"/>
                <w:kern w:val="0"/>
                <w:sz w:val="28"/>
                <w:lang w:val="en-US" w:eastAsia="zh-CN"/>
              </w:rPr>
              <w:br w:type="page"/>
            </w:r>
            <w:r>
              <w:rPr>
                <w:rFonts w:hint="eastAsia" w:ascii="宋体" w:hAnsi="宋体" w:eastAsia="宋体" w:cs="宋体"/>
                <w:b/>
                <w:i w:val="0"/>
                <w:color w:val="000000"/>
                <w:kern w:val="0"/>
                <w:sz w:val="28"/>
                <w:szCs w:val="28"/>
                <w:u w:val="none"/>
                <w:lang w:val="en-US" w:eastAsia="zh-CN" w:bidi="ar"/>
              </w:rPr>
              <w:t>余码（峡港）河治理项目资金支出明细表</w:t>
            </w:r>
          </w:p>
        </w:tc>
      </w:tr>
      <w:tr>
        <w:tblPrEx>
          <w:shd w:val="clear" w:color="auto" w:fill="auto"/>
          <w:tblCellMar>
            <w:top w:w="0" w:type="dxa"/>
            <w:left w:w="0" w:type="dxa"/>
            <w:bottom w:w="0" w:type="dxa"/>
            <w:right w:w="0" w:type="dxa"/>
          </w:tblCellMar>
        </w:tblPrEx>
        <w:trPr>
          <w:trHeight w:val="315" w:hRule="atLeast"/>
        </w:trPr>
        <w:tc>
          <w:tcPr>
            <w:tcW w:w="336"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c>
          <w:tcPr>
            <w:tcW w:w="804"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c>
          <w:tcPr>
            <w:tcW w:w="492"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c>
          <w:tcPr>
            <w:tcW w:w="1580"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c>
          <w:tcPr>
            <w:tcW w:w="3622" w:type="dxa"/>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截止日期：2019年8月30日</w:t>
            </w:r>
          </w:p>
        </w:tc>
        <w:tc>
          <w:tcPr>
            <w:tcW w:w="1967" w:type="dxa"/>
            <w:tcBorders>
              <w:top w:val="nil"/>
              <w:left w:val="nil"/>
              <w:bottom w:val="nil"/>
              <w:right w:val="nil"/>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c>
          <w:tcPr>
            <w:tcW w:w="1299"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602"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日期</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凭证号</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摘要</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2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收款单位（供应商）</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付款人及账号</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 xml:space="preserve"> 金额 </w:t>
            </w:r>
          </w:p>
        </w:tc>
      </w:tr>
      <w:tr>
        <w:tblPrEx>
          <w:shd w:val="clear" w:color="auto" w:fill="auto"/>
          <w:tblCellMar>
            <w:top w:w="0" w:type="dxa"/>
            <w:left w:w="0" w:type="dxa"/>
            <w:bottom w:w="0" w:type="dxa"/>
            <w:right w:w="0" w:type="dxa"/>
          </w:tblCellMar>
        </w:tblPrEx>
        <w:trPr>
          <w:trHeight w:val="552"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勘察设计费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荆门市水利勘察设计院</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300,000.00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2018.9.</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第一阶段工程款支付</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湖北水总水利水电建设股份有限公司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嘉鱼县财政局财政零余额账户42001696208050001180</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1,483,004.00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2018.9.</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勘察设计费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荆门市水利勘察设计院</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300,000.00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2018.9.</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工程监理费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南昌蓝水工程监理有限责任公司咸宁分公司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100,000.00 </w:t>
            </w:r>
          </w:p>
        </w:tc>
      </w:tr>
      <w:tr>
        <w:tblPrEx>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2018.9.</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建设及施工场地补偿款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嘉鱼县渡普镇人民政府</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150,000.00 </w:t>
            </w:r>
          </w:p>
        </w:tc>
      </w:tr>
      <w:tr>
        <w:tblPrEx>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2018.12.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建设及施工场地补偿款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湖北省国营头墩农场</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50,000.00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第二阶段工程款支付</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湖北水总水利水电建设股份有限公司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嘉鱼县财政局财政零余额账户42001696208050001180</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5,000,000.00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工程抽检费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湖北正平水利水电工程质量检测有限公司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40,000.00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工程平检费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武汉楚衡建设工程检测有限公司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15,000.00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工程审计费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湖北省宏博策工程造价咨询有限公司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45,000.00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工程监理费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南昌蓝水工程监理有限责任公司咸宁分公司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60,000.00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工程影像制作费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嘉鱼县智绘广告有限责任公司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6,000.00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付第二阶段应付工程款</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湖北水总水利水电建设股份有限公司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474,320.00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第三阶段工程款支付</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湖北水总水利水电建设股份有限公司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嘉鱼县财政局财政零余额账户42001696208050001180</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1,386,880.00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建设及施工场地补偿款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嘉鱼县渡普镇人民政府</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51,881.60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2019.8.</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勘察设计费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荆门市水利勘察设计院</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200,000.00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2019.8.</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第四阶段工程款支付</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湖北水总水利水电建设股份有限公司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嘉鱼县财政局财政零余额账户42001696208050001180</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1,904,610.00 </w:t>
            </w:r>
          </w:p>
        </w:tc>
      </w:tr>
      <w:tr>
        <w:tblPrEx>
          <w:shd w:val="clear" w:color="auto" w:fill="auto"/>
          <w:tblCellMar>
            <w:top w:w="0" w:type="dxa"/>
            <w:left w:w="0" w:type="dxa"/>
            <w:bottom w:w="0" w:type="dxa"/>
            <w:right w:w="0" w:type="dxa"/>
          </w:tblCellMar>
        </w:tblPrEx>
        <w:trPr>
          <w:trHeight w:val="552"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  计</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 xml:space="preserve"> 11,566,695.60 </w:t>
            </w:r>
          </w:p>
        </w:tc>
      </w:tr>
      <w:tr>
        <w:tblPrEx>
          <w:shd w:val="clear" w:color="auto" w:fill="auto"/>
          <w:tblCellMar>
            <w:top w:w="0" w:type="dxa"/>
            <w:left w:w="0" w:type="dxa"/>
            <w:bottom w:w="0" w:type="dxa"/>
            <w:right w:w="0" w:type="dxa"/>
          </w:tblCellMar>
        </w:tblPrEx>
        <w:trPr>
          <w:trHeight w:val="423" w:hRule="atLeast"/>
        </w:trPr>
        <w:tc>
          <w:tcPr>
            <w:tcW w:w="10100"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21"/>
                <w:szCs w:val="21"/>
                <w:u w:val="none"/>
                <w:lang w:val="en-US" w:eastAsia="zh-CN" w:bidi="ar"/>
              </w:rPr>
              <w:t>备注：中央专项资金仅用于项目主体工程的建设支出，其余待摊费用由县级财政配套资金支付。</w:t>
            </w:r>
          </w:p>
        </w:tc>
      </w:tr>
    </w:tbl>
    <w:p>
      <w:pPr>
        <w:pStyle w:val="4"/>
        <w:numPr>
          <w:ilvl w:val="0"/>
          <w:numId w:val="3"/>
        </w:numPr>
        <w:bidi w:val="0"/>
        <w:rPr>
          <w:rFonts w:hint="eastAsia"/>
          <w:sz w:val="28"/>
          <w:szCs w:val="28"/>
          <w:lang w:val="en-US" w:eastAsia="zh-CN"/>
        </w:rPr>
      </w:pPr>
      <w:bookmarkStart w:id="18" w:name="_Toc17405"/>
      <w:r>
        <w:rPr>
          <w:rFonts w:hint="eastAsia"/>
          <w:sz w:val="28"/>
          <w:szCs w:val="28"/>
          <w:lang w:val="en-US" w:eastAsia="zh-CN"/>
        </w:rPr>
        <w:t>绩效指标完成情况分析</w:t>
      </w:r>
      <w:bookmarkEnd w:id="18"/>
    </w:p>
    <w:p>
      <w:pPr>
        <w:numPr>
          <w:ilvl w:val="0"/>
          <w:numId w:val="5"/>
        </w:numPr>
        <w:tabs>
          <w:tab w:val="left" w:pos="625"/>
        </w:tabs>
        <w:autoSpaceDE w:val="0"/>
        <w:autoSpaceDN w:val="0"/>
        <w:adjustRightInd w:val="0"/>
        <w:spacing w:line="540" w:lineRule="exact"/>
        <w:ind w:left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项目立项规范性：</w:t>
      </w:r>
    </w:p>
    <w:p>
      <w:pPr>
        <w:numPr>
          <w:ilvl w:val="0"/>
          <w:numId w:val="0"/>
        </w:numPr>
        <w:tabs>
          <w:tab w:val="left" w:pos="625"/>
        </w:tabs>
        <w:autoSpaceDE w:val="0"/>
        <w:autoSpaceDN w:val="0"/>
        <w:adjustRightInd w:val="0"/>
        <w:spacing w:line="540" w:lineRule="exact"/>
        <w:jc w:val="left"/>
        <w:rPr>
          <w:rFonts w:hint="eastAsia" w:ascii="仿宋_GB2312" w:eastAsia="仿宋_GB2312"/>
          <w:kern w:val="0"/>
          <w:sz w:val="28"/>
          <w:lang w:val="en-US" w:eastAsia="zh-CN"/>
        </w:rPr>
      </w:pPr>
      <w:r>
        <w:rPr>
          <w:rFonts w:hint="eastAsia" w:ascii="仿宋_GB2312" w:eastAsia="仿宋_GB2312"/>
          <w:kern w:val="0"/>
          <w:sz w:val="28"/>
          <w:lang w:val="en-US" w:eastAsia="zh-CN"/>
        </w:rPr>
        <w:t>通过审核</w:t>
      </w:r>
      <w:r>
        <w:rPr>
          <w:rFonts w:hint="eastAsia" w:ascii="仿宋_GB2312" w:eastAsia="仿宋_GB2312"/>
          <w:b w:val="0"/>
          <w:bCs w:val="0"/>
          <w:kern w:val="0"/>
          <w:sz w:val="28"/>
          <w:lang w:val="zh-CN"/>
        </w:rPr>
        <w:t>湖北省水利厅鄂水利复【</w:t>
      </w:r>
      <w:r>
        <w:rPr>
          <w:rFonts w:hint="eastAsia" w:ascii="仿宋_GB2312" w:eastAsia="仿宋_GB2312"/>
          <w:b w:val="0"/>
          <w:bCs w:val="0"/>
          <w:kern w:val="0"/>
          <w:sz w:val="28"/>
          <w:lang w:val="en-US" w:eastAsia="zh-CN"/>
        </w:rPr>
        <w:t>2017】68号《省水利厅关于嘉鱼县余码（峡港）河治理工程初步设计报告的批复》文件</w:t>
      </w:r>
      <w:r>
        <w:rPr>
          <w:rFonts w:hint="eastAsia" w:ascii="仿宋_GB2312" w:eastAsia="仿宋_GB2312"/>
          <w:kern w:val="0"/>
          <w:sz w:val="28"/>
          <w:lang w:val="en-US" w:eastAsia="zh-CN"/>
        </w:rPr>
        <w:t>、设计院设计报告等文件，得出结论：项目按规定的程序申请设立，并委托荆门市水利勘察设计院对项目进行了事前设计、专家论证、风险评估。所提交的申请治理文件材料符合相关要求，整个项目有规划、有申请、有批复。按《中央财政水利发展资金使用管理办法》、《湖北省中央财政水利发展资金使用管理实施细则》有关规定，对专项资金进行了及时分配及下拨。但项目在执行过程中发生了重大调整，设置分值2分，扣0.5分，得1.5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绩效目标合理性：</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通过审核项目组2019年4月2日编制的《项目支出绩效目标申报表》，得出结论：项目组设定了《项目支出绩效目标申报表》，表中所设计的年度目标及绩效指标符合目标管理规范，绩效指标具有可测性。设置分值2分，得2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资金到位率：</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通过审核项目资金批复文件及财务凭证，得出结论：本项目财政资金2004万元、县级配套资金189.3万元已全部，资金到位率100%。设置分值2分，得分2分。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资金到位及时率：</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通过审核项目资金批复文件及财务凭证，得出结论：中央财政资金分别于2017年12月11日及2018年12月3日到位；县级配套资金分别于2018年1月23日、2018年9月20日及2019年5月11日到位，资金到位及时率100%。设置分值2分，得分2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项目管理制度健全性：</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通过审核各类项目管理制度，得出结论：项目组及施工方制定了《质量管理体系及保证措施》、《防汛应急预案》、《安全生产监理实施细则》等一系列管理制度，制度合法、合规、完整，为项目的顺利实施提供了保障。设置分值2分，得分2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项目制度执行有效性：</w:t>
      </w:r>
    </w:p>
    <w:p>
      <w:pPr>
        <w:numPr>
          <w:ilvl w:val="0"/>
          <w:numId w:val="0"/>
        </w:numPr>
        <w:tabs>
          <w:tab w:val="left" w:pos="625"/>
        </w:tabs>
        <w:autoSpaceDE w:val="0"/>
        <w:autoSpaceDN w:val="0"/>
        <w:adjustRightInd w:val="0"/>
        <w:spacing w:line="540" w:lineRule="exact"/>
        <w:ind w:left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①经抽查《监理施工日志》，得出结论：项目严格按各类管理制定执行。</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②经检查招投标文件及合同，勘察、监理、施工均通过政府采购行为确定供应商，有严格的招投标程序、并签定了合规合法的合同。                              3、经现场检查，项目实施的人员条件、场地设备、信息支撑等均已落实到位，包括人员变更等申报手续。设置分值2分，得分2分。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项目质量可控性：</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经检查，项目的质量检测工作聘请了专业机构（湖北正平水利水电工程质量检测有限公司），制定了《项目安全管理体系》、《工程技术质量管理制度》等一系列制度，保证了项目在实施过程中有专业的质量检查控制措施。设置分值2分，得分2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财务管理制度健全性：</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经检查，项目制定了相应的资金管理办法。资金管理办法符合相关财务制度的规定。设置分值2分，得2分。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资金使用合规性：</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①项目资金的使用符合国家财经法规和财务管理制度以及有关专项资金管理办法的规定；②资金的拨付有完整的审批程序和手续；                              ③项目的重大开支经过监理单位、建设单位、审计单位签字确认，手续合规合法。④各项资金支出符合项目预算批复及合同规定的用途。 ⑤项目资金专款专用，由施工方申请、经过完整的审批程序后，工程款由财政零余额账户（42001696208050001180）直接拨付，各类待摊费用由嘉鱼县河道堤防管理局（42001690045058006677）直接拨付，不存在截留、挤占、挪用、虚列支出等情况。设置分值2分，得分2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财务监控有效性：</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经检查，①嘉鱼县中小河流建设管理办公室下设财务部，专人专账对本项目资金进行管理②项目工程款由县级财政统一支付，各项待摊费用由县财政根据审批后的申请单直接拨付至嘉鱼县中小河流建设管理办公室专户，由本单位自行支付，支付流程合法合规。财务监控措施有效。设置分值2分，得2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项目产出实际完成率：</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根据监理月报，截至2019年8月25日，工程实际完成率为94.84%，设置分值10分，扣0.5分，得9.5分。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项目产出完成及时率：</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项目于2018.4.21日开工，计划完成时间为2019.4.21日，历时365天，由于施工过程中存在一定的客观困难，且发生了重大工程变更事项，导致项目目前尚未完工，计划于2019.11.30日完工。历时588天。完成及时率=【（365-588）/365】*100%=61%。设置分值10分，扣4分，得6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项目产出质量达标率：</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由于项目尚未完工，无工程验收报告，本次考核对此项不予以评价。设置分值10分，得10分。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项目资金使用率：</w:t>
      </w:r>
    </w:p>
    <w:p>
      <w:pPr>
        <w:numPr>
          <w:ilvl w:val="0"/>
          <w:numId w:val="0"/>
        </w:numPr>
        <w:tabs>
          <w:tab w:val="left" w:pos="625"/>
        </w:tabs>
        <w:autoSpaceDE w:val="0"/>
        <w:autoSpaceDN w:val="0"/>
        <w:adjustRightInd w:val="0"/>
        <w:spacing w:line="540" w:lineRule="exact"/>
        <w:ind w:left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①按资金总收支情况分析，本项目实际到位资金2193.3万元，实际支出1157万元，资金使用率为53%。</w:t>
      </w:r>
    </w:p>
    <w:p>
      <w:pPr>
        <w:numPr>
          <w:ilvl w:val="0"/>
          <w:numId w:val="0"/>
        </w:numPr>
        <w:tabs>
          <w:tab w:val="left" w:pos="625"/>
        </w:tabs>
        <w:autoSpaceDE w:val="0"/>
        <w:autoSpaceDN w:val="0"/>
        <w:adjustRightInd w:val="0"/>
        <w:spacing w:line="540" w:lineRule="exact"/>
        <w:ind w:left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②按分项工程完成情况与资金支付情况分析，分项工程资金平均支付率也仅为57.66%。具体分析情况如下表所示：</w:t>
      </w:r>
    </w:p>
    <w:p>
      <w:pPr>
        <w:numPr>
          <w:ilvl w:val="0"/>
          <w:numId w:val="0"/>
        </w:numPr>
        <w:tabs>
          <w:tab w:val="left" w:pos="625"/>
        </w:tabs>
        <w:autoSpaceDE w:val="0"/>
        <w:autoSpaceDN w:val="0"/>
        <w:adjustRightInd w:val="0"/>
        <w:spacing w:line="540" w:lineRule="exact"/>
        <w:ind w:leftChars="0"/>
        <w:jc w:val="left"/>
        <w:rPr>
          <w:rFonts w:hint="eastAsia" w:ascii="仿宋_GB2312" w:eastAsia="仿宋_GB2312"/>
          <w:kern w:val="0"/>
          <w:sz w:val="28"/>
          <w:lang w:val="en-US" w:eastAsia="zh-CN"/>
        </w:rPr>
      </w:pPr>
    </w:p>
    <w:tbl>
      <w:tblPr>
        <w:tblStyle w:val="11"/>
        <w:tblW w:w="8240" w:type="dxa"/>
        <w:tblInd w:w="0" w:type="dxa"/>
        <w:shd w:val="clear" w:color="auto" w:fill="auto"/>
        <w:tblLayout w:type="fixed"/>
        <w:tblCellMar>
          <w:top w:w="0" w:type="dxa"/>
          <w:left w:w="0" w:type="dxa"/>
          <w:bottom w:w="0" w:type="dxa"/>
          <w:right w:w="0" w:type="dxa"/>
        </w:tblCellMar>
      </w:tblPr>
      <w:tblGrid>
        <w:gridCol w:w="378"/>
        <w:gridCol w:w="1033"/>
        <w:gridCol w:w="2042"/>
        <w:gridCol w:w="1355"/>
        <w:gridCol w:w="1366"/>
        <w:gridCol w:w="1245"/>
        <w:gridCol w:w="821"/>
      </w:tblGrid>
      <w:tr>
        <w:tblPrEx>
          <w:shd w:val="clear" w:color="auto" w:fill="auto"/>
          <w:tblCellMar>
            <w:top w:w="0" w:type="dxa"/>
            <w:left w:w="0" w:type="dxa"/>
            <w:bottom w:w="0" w:type="dxa"/>
            <w:right w:w="0" w:type="dxa"/>
          </w:tblCellMar>
        </w:tblPrEx>
        <w:trPr>
          <w:trHeight w:val="665" w:hRule="atLeast"/>
        </w:trPr>
        <w:tc>
          <w:tcPr>
            <w:tcW w:w="8240" w:type="dxa"/>
            <w:gridSpan w:val="7"/>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项目资金使用情况分析表</w:t>
            </w:r>
          </w:p>
        </w:tc>
      </w:tr>
      <w:tr>
        <w:tblPrEx>
          <w:shd w:val="clear" w:color="auto" w:fill="auto"/>
          <w:tblCellMar>
            <w:top w:w="0" w:type="dxa"/>
            <w:left w:w="0" w:type="dxa"/>
            <w:bottom w:w="0" w:type="dxa"/>
            <w:right w:w="0" w:type="dxa"/>
          </w:tblCellMar>
        </w:tblPrEx>
        <w:trPr>
          <w:trHeight w:val="478" w:hRule="atLeast"/>
        </w:trPr>
        <w:tc>
          <w:tcPr>
            <w:tcW w:w="8240" w:type="dxa"/>
            <w:gridSpan w:val="7"/>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截止日期：2019年8月30日                                                单位：元</w:t>
            </w:r>
          </w:p>
        </w:tc>
      </w:tr>
      <w:tr>
        <w:tblPrEx>
          <w:shd w:val="clear" w:color="auto" w:fill="auto"/>
          <w:tblCellMar>
            <w:top w:w="0" w:type="dxa"/>
            <w:left w:w="0" w:type="dxa"/>
            <w:bottom w:w="0" w:type="dxa"/>
            <w:right w:w="0" w:type="dxa"/>
          </w:tblCellMar>
        </w:tblPrEx>
        <w:trPr>
          <w:trHeight w:val="652"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类别</w:t>
            </w:r>
          </w:p>
        </w:tc>
        <w:tc>
          <w:tcPr>
            <w:tcW w:w="2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收款单位（供应商名称)</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合同价 </w:t>
            </w: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已支付金额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未支付金额 </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支付比例</w:t>
            </w:r>
          </w:p>
        </w:tc>
      </w:tr>
      <w:tr>
        <w:tblPrEx>
          <w:shd w:val="clear" w:color="auto" w:fill="auto"/>
          <w:tblCellMar>
            <w:top w:w="0" w:type="dxa"/>
            <w:left w:w="0" w:type="dxa"/>
            <w:bottom w:w="0" w:type="dxa"/>
            <w:right w:w="0" w:type="dxa"/>
          </w:tblCellMar>
        </w:tblPrEx>
        <w:trPr>
          <w:trHeight w:val="695"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建筑工程款</w:t>
            </w:r>
          </w:p>
        </w:tc>
        <w:tc>
          <w:tcPr>
            <w:tcW w:w="2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湖北水总水利水电建设股份有限公司</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18,575,769.00 </w:t>
            </w: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10,248,814.00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8,326,955.00 </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55.17%</w:t>
            </w:r>
          </w:p>
        </w:tc>
      </w:tr>
      <w:tr>
        <w:tblPrEx>
          <w:shd w:val="clear" w:color="auto" w:fill="auto"/>
          <w:tblCellMar>
            <w:top w:w="0" w:type="dxa"/>
            <w:left w:w="0" w:type="dxa"/>
            <w:bottom w:w="0" w:type="dxa"/>
            <w:right w:w="0" w:type="dxa"/>
          </w:tblCellMar>
        </w:tblPrEx>
        <w:trPr>
          <w:trHeight w:val="627"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勘察设计费</w:t>
            </w:r>
          </w:p>
        </w:tc>
        <w:tc>
          <w:tcPr>
            <w:tcW w:w="2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荆门市水利勘测设计院</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855,000.00 </w:t>
            </w: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800,000.00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55,000.00 </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93.57%</w:t>
            </w:r>
          </w:p>
        </w:tc>
      </w:tr>
      <w:tr>
        <w:tblPrEx>
          <w:shd w:val="clear" w:color="auto" w:fill="auto"/>
          <w:tblCellMar>
            <w:top w:w="0" w:type="dxa"/>
            <w:left w:w="0" w:type="dxa"/>
            <w:bottom w:w="0" w:type="dxa"/>
            <w:right w:w="0" w:type="dxa"/>
          </w:tblCellMar>
        </w:tblPrEx>
        <w:trPr>
          <w:trHeight w:val="695"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工程监理费</w:t>
            </w:r>
          </w:p>
        </w:tc>
        <w:tc>
          <w:tcPr>
            <w:tcW w:w="2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南昌蓝水工程监理有限责任公司咸宁分公司</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260,000.00 </w:t>
            </w: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160,000.00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100,000.00 </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61.54%</w:t>
            </w:r>
          </w:p>
        </w:tc>
      </w:tr>
      <w:tr>
        <w:tblPrEx>
          <w:shd w:val="clear" w:color="auto" w:fill="auto"/>
          <w:tblCellMar>
            <w:top w:w="0" w:type="dxa"/>
            <w:left w:w="0" w:type="dxa"/>
            <w:bottom w:w="0" w:type="dxa"/>
            <w:right w:w="0" w:type="dxa"/>
          </w:tblCellMar>
        </w:tblPrEx>
        <w:trPr>
          <w:trHeight w:val="695"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工程抽检费</w:t>
            </w:r>
          </w:p>
        </w:tc>
        <w:tc>
          <w:tcPr>
            <w:tcW w:w="2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湖北正平水利水电工程质量检测有限公司</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70,500.00 </w:t>
            </w: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40,000.00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30,500.00 </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56.74%</w:t>
            </w:r>
          </w:p>
        </w:tc>
      </w:tr>
      <w:tr>
        <w:tblPrEx>
          <w:shd w:val="clear" w:color="auto" w:fill="auto"/>
          <w:tblCellMar>
            <w:top w:w="0" w:type="dxa"/>
            <w:left w:w="0" w:type="dxa"/>
            <w:bottom w:w="0" w:type="dxa"/>
            <w:right w:w="0" w:type="dxa"/>
          </w:tblCellMar>
        </w:tblPrEx>
        <w:trPr>
          <w:trHeight w:val="695"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工程平检费</w:t>
            </w:r>
          </w:p>
        </w:tc>
        <w:tc>
          <w:tcPr>
            <w:tcW w:w="2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武汉楚衡建设工程检测有限公司</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36,000.00 </w:t>
            </w: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15,000.00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21,000.00 </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41.67%</w:t>
            </w:r>
          </w:p>
        </w:tc>
      </w:tr>
      <w:tr>
        <w:tblPrEx>
          <w:shd w:val="clear" w:color="auto" w:fill="auto"/>
          <w:tblCellMar>
            <w:top w:w="0" w:type="dxa"/>
            <w:left w:w="0" w:type="dxa"/>
            <w:bottom w:w="0" w:type="dxa"/>
            <w:right w:w="0" w:type="dxa"/>
          </w:tblCellMar>
        </w:tblPrEx>
        <w:trPr>
          <w:trHeight w:val="695"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工程审计费</w:t>
            </w:r>
          </w:p>
        </w:tc>
        <w:tc>
          <w:tcPr>
            <w:tcW w:w="2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湖北省宏博策工程造价咨询有限公司</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45,000.00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95"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工程影像制作费</w:t>
            </w:r>
          </w:p>
        </w:tc>
        <w:tc>
          <w:tcPr>
            <w:tcW w:w="2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嘉鱼县智绘广告有限责任公司</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12,000.00 </w:t>
            </w: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6,000.00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6,000.00 </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50.00%</w:t>
            </w:r>
          </w:p>
        </w:tc>
      </w:tr>
      <w:tr>
        <w:tblPrEx>
          <w:tblCellMar>
            <w:top w:w="0" w:type="dxa"/>
            <w:left w:w="0" w:type="dxa"/>
            <w:bottom w:w="0" w:type="dxa"/>
            <w:right w:w="0" w:type="dxa"/>
          </w:tblCellMar>
        </w:tblPrEx>
        <w:trPr>
          <w:trHeight w:val="627" w:hRule="atLeast"/>
        </w:trPr>
        <w:tc>
          <w:tcPr>
            <w:tcW w:w="3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0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青苗补偿款</w:t>
            </w:r>
          </w:p>
        </w:tc>
        <w:tc>
          <w:tcPr>
            <w:tcW w:w="2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嘉鱼县渡普镇人民政府</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201,881.60 </w:t>
            </w: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201,881.60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   </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r>
      <w:tr>
        <w:tblPrEx>
          <w:tblCellMar>
            <w:top w:w="0" w:type="dxa"/>
            <w:left w:w="0" w:type="dxa"/>
            <w:bottom w:w="0" w:type="dxa"/>
            <w:right w:w="0" w:type="dxa"/>
          </w:tblCellMar>
        </w:tblPrEx>
        <w:trPr>
          <w:trHeight w:val="627" w:hRule="atLeast"/>
        </w:trPr>
        <w:tc>
          <w:tcPr>
            <w:tcW w:w="3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湖北省国营头墩农场</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50,000.00 </w:t>
            </w: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50,000.00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   </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r>
      <w:tr>
        <w:tblPrEx>
          <w:shd w:val="clear" w:color="auto" w:fill="auto"/>
          <w:tblCellMar>
            <w:top w:w="0" w:type="dxa"/>
            <w:left w:w="0" w:type="dxa"/>
            <w:bottom w:w="0" w:type="dxa"/>
            <w:right w:w="0" w:type="dxa"/>
          </w:tblCellMar>
        </w:tblPrEx>
        <w:trPr>
          <w:trHeight w:val="637"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30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  计</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 20,061,150.60 </w:t>
            </w:r>
          </w:p>
        </w:tc>
        <w:tc>
          <w:tcPr>
            <w:tcW w:w="13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 11,566,695.60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57.66%</w:t>
            </w:r>
          </w:p>
        </w:tc>
      </w:tr>
      <w:tr>
        <w:tblPrEx>
          <w:tblCellMar>
            <w:top w:w="0" w:type="dxa"/>
            <w:left w:w="0" w:type="dxa"/>
            <w:bottom w:w="0" w:type="dxa"/>
            <w:right w:w="0" w:type="dxa"/>
          </w:tblCellMar>
        </w:tblPrEx>
        <w:trPr>
          <w:trHeight w:val="694" w:hRule="atLeast"/>
        </w:trPr>
        <w:tc>
          <w:tcPr>
            <w:tcW w:w="824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说明：工程审计费合同约定：服务酬金按工程实际发生额0.005%取费，由于工程未完工，故该目暂无法确认合同总价及未支付金额，分析表中未对该项进行分析。</w:t>
            </w:r>
          </w:p>
        </w:tc>
      </w:tr>
    </w:tbl>
    <w:p>
      <w:pPr>
        <w:keepNext w:val="0"/>
        <w:keepLines w:val="0"/>
        <w:pageBreakBefore w:val="0"/>
        <w:widowControl w:val="0"/>
        <w:numPr>
          <w:ilvl w:val="0"/>
          <w:numId w:val="0"/>
        </w:numPr>
        <w:tabs>
          <w:tab w:val="left" w:pos="625"/>
        </w:tabs>
        <w:kinsoku/>
        <w:wordWrap/>
        <w:overflowPunct/>
        <w:topLinePunct w:val="0"/>
        <w:autoSpaceDE w:val="0"/>
        <w:autoSpaceDN w:val="0"/>
        <w:bidi w:val="0"/>
        <w:adjustRightInd w:val="0"/>
        <w:snapToGrid/>
        <w:spacing w:before="157" w:beforeLines="50" w:line="540" w:lineRule="exact"/>
        <w:ind w:leftChars="0"/>
        <w:jc w:val="left"/>
        <w:textAlignment w:val="auto"/>
        <w:rPr>
          <w:rFonts w:hint="default" w:ascii="仿宋_GB2312" w:eastAsia="仿宋_GB2312"/>
          <w:kern w:val="0"/>
          <w:sz w:val="28"/>
          <w:lang w:val="en-US" w:eastAsia="zh-CN"/>
        </w:rPr>
      </w:pPr>
      <w:r>
        <w:rPr>
          <w:rFonts w:hint="eastAsia" w:ascii="仿宋_GB2312" w:eastAsia="仿宋_GB2312"/>
          <w:kern w:val="0"/>
          <w:sz w:val="28"/>
          <w:lang w:val="en-US" w:eastAsia="zh-CN"/>
        </w:rPr>
        <w:t>综合上述两项分析，该项指标设置分值10分，扣5分，得5分。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项目经济效益：</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通过走访周边群众及调查问卷显示，项目实施后，有效的保护了嘉鱼县渡普镇2成人、3万亩耕地的财产安全。设置分值5分，得5分。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项目社会效益：</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通过此次河道清淤疏挖和堤防加固，扩大了河道的泄洪排涝能力，防洪标准由3年一遇提高到了10年一遇。根据社会调查问卷显示，73.91%群众认为防洪能力得到了提高。设置分值5分，得5分。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项目生态效益：</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本次工程治理范围为峡港河干流段，治理河长共计11.568公里，主要建设内容为河道疏挖和堤防加固。整治范围和力度适度，未对河流生态系统过度干扰，且材料均采购生态型河道整治工程材料，对河流以及周边生态系统的恢复和保护有事半功倍的效果。设置分值10分，得10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项目可持续性影响：</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kern w:val="0"/>
          <w:sz w:val="28"/>
          <w:lang w:val="en-US" w:eastAsia="zh-CN"/>
        </w:rPr>
      </w:pPr>
      <w:r>
        <w:rPr>
          <w:rFonts w:hint="eastAsia" w:ascii="仿宋_GB2312" w:eastAsia="仿宋_GB2312"/>
          <w:kern w:val="0"/>
          <w:sz w:val="28"/>
          <w:lang w:val="en-US" w:eastAsia="zh-CN"/>
        </w:rPr>
        <w:t>项目尚未完工，无法对后续运行及成效发挥情况进行调查走访。此次考核对此项不予以评价。设置分值10分，得10分。</w:t>
      </w:r>
    </w:p>
    <w:p>
      <w:pPr>
        <w:numPr>
          <w:ilvl w:val="0"/>
          <w:numId w:val="5"/>
        </w:numPr>
        <w:tabs>
          <w:tab w:val="left" w:pos="625"/>
        </w:tabs>
        <w:autoSpaceDE w:val="0"/>
        <w:autoSpaceDN w:val="0"/>
        <w:adjustRightInd w:val="0"/>
        <w:spacing w:line="540" w:lineRule="exact"/>
        <w:ind w:left="0" w:leftChars="0" w:firstLine="0" w:firstLine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项目社会公众效益：</w:t>
      </w:r>
    </w:p>
    <w:p>
      <w:pPr>
        <w:numPr>
          <w:ilvl w:val="0"/>
          <w:numId w:val="0"/>
        </w:numPr>
        <w:tabs>
          <w:tab w:val="left" w:pos="625"/>
        </w:tabs>
        <w:autoSpaceDE w:val="0"/>
        <w:autoSpaceDN w:val="0"/>
        <w:adjustRightInd w:val="0"/>
        <w:spacing w:line="540" w:lineRule="exact"/>
        <w:ind w:leftChars="0"/>
        <w:jc w:val="left"/>
        <w:rPr>
          <w:rFonts w:hint="eastAsia" w:ascii="仿宋_GB2312" w:eastAsia="仿宋_GB2312"/>
          <w:kern w:val="0"/>
          <w:sz w:val="28"/>
          <w:lang w:val="en-US" w:eastAsia="zh-CN"/>
        </w:rPr>
      </w:pPr>
      <w:r>
        <w:rPr>
          <w:rFonts w:hint="eastAsia" w:ascii="仿宋_GB2312" w:eastAsia="仿宋_GB2312"/>
          <w:kern w:val="0"/>
          <w:sz w:val="28"/>
          <w:lang w:val="en-US" w:eastAsia="zh-CN"/>
        </w:rPr>
        <w:t>本次社会调查到河道周边的23户群众进行调查走访，21户群众表示项目实施后对他们的生活环境质量有了很好的影响，对实施项目表示了较高的满意，满意度为91.3%。设置分值10分，得10分。</w:t>
      </w:r>
    </w:p>
    <w:p>
      <w:pPr>
        <w:numPr>
          <w:ilvl w:val="0"/>
          <w:numId w:val="0"/>
        </w:numPr>
        <w:tabs>
          <w:tab w:val="left" w:pos="625"/>
        </w:tabs>
        <w:autoSpaceDE w:val="0"/>
        <w:autoSpaceDN w:val="0"/>
        <w:adjustRightInd w:val="0"/>
        <w:spacing w:line="540" w:lineRule="exact"/>
        <w:ind w:leftChars="0"/>
        <w:jc w:val="left"/>
        <w:rPr>
          <w:rFonts w:hint="default" w:ascii="仿宋_GB2312" w:eastAsia="仿宋_GB2312"/>
          <w:b/>
          <w:bCs/>
          <w:kern w:val="0"/>
          <w:sz w:val="28"/>
          <w:lang w:val="en-US" w:eastAsia="zh-CN"/>
        </w:rPr>
      </w:pPr>
      <w:r>
        <w:rPr>
          <w:rFonts w:hint="eastAsia" w:ascii="仿宋_GB2312" w:eastAsia="仿宋_GB2312"/>
          <w:b/>
          <w:bCs/>
          <w:kern w:val="0"/>
          <w:sz w:val="28"/>
          <w:lang w:val="en-US" w:eastAsia="zh-CN"/>
        </w:rPr>
        <w:t>结论：该项目绩效评价得分总分为90分，评价等级优。评价依据见附件一《嘉鱼县余码峡港河治理工程绩效评价指标体系表》。</w:t>
      </w:r>
    </w:p>
    <w:p>
      <w:pPr>
        <w:pStyle w:val="4"/>
        <w:numPr>
          <w:ilvl w:val="0"/>
          <w:numId w:val="3"/>
        </w:numPr>
        <w:bidi w:val="0"/>
        <w:rPr>
          <w:rFonts w:hint="default"/>
          <w:sz w:val="28"/>
          <w:szCs w:val="28"/>
          <w:lang w:val="en-US" w:eastAsia="zh-CN"/>
        </w:rPr>
      </w:pPr>
      <w:bookmarkStart w:id="19" w:name="_Toc10524"/>
      <w:r>
        <w:rPr>
          <w:rFonts w:hint="eastAsia"/>
          <w:sz w:val="28"/>
          <w:szCs w:val="28"/>
          <w:lang w:val="en-US" w:eastAsia="zh-CN"/>
        </w:rPr>
        <w:t>项目资金情况与绩效指标完成情况相关性分析</w:t>
      </w:r>
      <w:bookmarkEnd w:id="19"/>
    </w:p>
    <w:p>
      <w:pPr>
        <w:numPr>
          <w:ilvl w:val="0"/>
          <w:numId w:val="0"/>
        </w:numPr>
        <w:tabs>
          <w:tab w:val="left" w:pos="0"/>
          <w:tab w:val="left" w:pos="625"/>
        </w:tabs>
        <w:autoSpaceDE w:val="0"/>
        <w:autoSpaceDN w:val="0"/>
        <w:adjustRightInd w:val="0"/>
        <w:spacing w:line="540" w:lineRule="exact"/>
        <w:ind w:firstLine="560" w:firstLineChars="200"/>
        <w:jc w:val="left"/>
        <w:rPr>
          <w:rFonts w:hint="eastAsia" w:ascii="仿宋_GB2312" w:eastAsia="仿宋_GB2312"/>
          <w:kern w:val="0"/>
          <w:sz w:val="28"/>
          <w:lang w:val="en-US" w:eastAsia="zh-CN"/>
        </w:rPr>
      </w:pPr>
      <w:r>
        <w:rPr>
          <w:rFonts w:hint="eastAsia" w:ascii="仿宋_GB2312" w:eastAsia="仿宋_GB2312"/>
          <w:kern w:val="0"/>
          <w:sz w:val="28"/>
          <w:lang w:val="en-US" w:eastAsia="zh-CN"/>
        </w:rPr>
        <w:t>该项目投资金额为2193.3万元，其中，中央专项资金2004万元，已于2017年12月11日及2018年12月3日拨付到位；县级财政配套资金189.3万元，已分别于2018年1月23日、2018年9月20日及2019年5月11日拨付到位。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ind w:firstLine="560" w:firstLineChars="200"/>
        <w:jc w:val="left"/>
        <w:rPr>
          <w:rFonts w:hint="default" w:ascii="仿宋_GB2312" w:eastAsia="仿宋_GB2312"/>
          <w:kern w:val="0"/>
          <w:sz w:val="28"/>
          <w:lang w:val="en-US" w:eastAsia="zh-CN"/>
        </w:rPr>
      </w:pPr>
      <w:r>
        <w:rPr>
          <w:rFonts w:hint="eastAsia" w:ascii="仿宋_GB2312" w:eastAsia="仿宋_GB2312"/>
          <w:kern w:val="0"/>
          <w:sz w:val="28"/>
          <w:lang w:val="en-US" w:eastAsia="zh-CN"/>
        </w:rPr>
        <w:t>项目按计划已实施了河道清淤及土方工程、桥涵闸及泵站拆除重建工程、护坡工程。工程完工率达到94.84%，其中：建筑工程完成94.31%，机电设备及安装工程完成99.07%，金属结构设备及安装工程完成98.62%，施工临时工程完成99.84%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ind w:firstLine="560" w:firstLineChars="200"/>
        <w:jc w:val="left"/>
        <w:rPr>
          <w:rFonts w:hint="eastAsia" w:ascii="仿宋_GB2312" w:eastAsia="仿宋_GB2312"/>
          <w:kern w:val="0"/>
          <w:sz w:val="28"/>
          <w:lang w:val="en-US" w:eastAsia="zh-CN"/>
        </w:rPr>
      </w:pPr>
      <w:r>
        <w:rPr>
          <w:rFonts w:hint="eastAsia" w:ascii="仿宋_GB2312" w:eastAsia="仿宋_GB2312"/>
          <w:kern w:val="0"/>
          <w:sz w:val="28"/>
          <w:lang w:val="en-US" w:eastAsia="zh-CN"/>
        </w:rPr>
        <w:t>资金到位的及时性，对项目初始阶段的</w:t>
      </w:r>
      <w:r>
        <w:rPr>
          <w:rFonts w:hint="eastAsia" w:ascii="仿宋_GB2312" w:eastAsia="仿宋_GB2312"/>
          <w:kern w:val="0"/>
          <w:sz w:val="28"/>
          <w:lang w:val="en-US" w:eastAsia="zh-CN"/>
        </w:rPr>
        <w:fldChar w:fldCharType="begin"/>
      </w:r>
      <w:r>
        <w:rPr>
          <w:rFonts w:hint="eastAsia" w:ascii="仿宋_GB2312" w:eastAsia="仿宋_GB2312"/>
          <w:kern w:val="0"/>
          <w:sz w:val="28"/>
          <w:lang w:val="en-US" w:eastAsia="zh-CN"/>
        </w:rPr>
        <w:instrText xml:space="preserve"> HYPERLINK "http://www.baidu.com/s?wd=%E6%8A%95%E8%B5%84%E5%86%B3%E7%AD%96&amp;tn=SE_PcZhidaonwhc_ngpagmjz&amp;rsv_dl=gh_pc_zhidao" \t "https://zhidao.baidu.com/question/_blank" </w:instrText>
      </w:r>
      <w:r>
        <w:rPr>
          <w:rFonts w:hint="eastAsia" w:ascii="仿宋_GB2312" w:eastAsia="仿宋_GB2312"/>
          <w:kern w:val="0"/>
          <w:sz w:val="28"/>
          <w:lang w:val="en-US" w:eastAsia="zh-CN"/>
        </w:rPr>
        <w:fldChar w:fldCharType="separate"/>
      </w:r>
      <w:r>
        <w:rPr>
          <w:rFonts w:hint="eastAsia" w:ascii="仿宋_GB2312" w:eastAsia="仿宋_GB2312"/>
          <w:kern w:val="0"/>
          <w:sz w:val="28"/>
          <w:lang w:val="en-US" w:eastAsia="zh-CN"/>
        </w:rPr>
        <w:t>实施决策</w:t>
      </w:r>
      <w:r>
        <w:rPr>
          <w:rFonts w:hint="eastAsia" w:ascii="仿宋_GB2312" w:eastAsia="仿宋_GB2312"/>
          <w:kern w:val="0"/>
          <w:sz w:val="28"/>
          <w:lang w:val="en-US" w:eastAsia="zh-CN"/>
        </w:rPr>
        <w:fldChar w:fldCharType="end"/>
      </w:r>
      <w:r>
        <w:rPr>
          <w:rFonts w:hint="eastAsia" w:ascii="仿宋_GB2312" w:eastAsia="仿宋_GB2312"/>
          <w:kern w:val="0"/>
          <w:sz w:val="28"/>
          <w:lang w:val="en-US" w:eastAsia="zh-CN"/>
        </w:rPr>
        <w:t>、经济评价、组织结构以及项目实施阶段的进度、质量、成本控制都起到了有力保障作用。</w:t>
      </w:r>
    </w:p>
    <w:p>
      <w:pPr>
        <w:pStyle w:val="3"/>
        <w:numPr>
          <w:ilvl w:val="0"/>
          <w:numId w:val="1"/>
        </w:numPr>
        <w:bidi w:val="0"/>
        <w:rPr>
          <w:rFonts w:hint="eastAsia"/>
          <w:sz w:val="28"/>
          <w:szCs w:val="28"/>
          <w:lang w:val="en-US" w:eastAsia="zh-CN"/>
        </w:rPr>
      </w:pPr>
      <w:bookmarkStart w:id="20" w:name="_Toc15806"/>
      <w:r>
        <w:rPr>
          <w:rFonts w:hint="eastAsia"/>
          <w:sz w:val="28"/>
          <w:szCs w:val="28"/>
          <w:lang w:val="en-US" w:eastAsia="zh-CN"/>
        </w:rPr>
        <w:t>存在的主要问题及工作建议</w:t>
      </w:r>
      <w:bookmarkEnd w:id="20"/>
    </w:p>
    <w:p>
      <w:pPr>
        <w:pStyle w:val="4"/>
        <w:bidi w:val="0"/>
        <w:rPr>
          <w:rFonts w:hint="default"/>
          <w:sz w:val="28"/>
          <w:szCs w:val="28"/>
          <w:lang w:val="en-US" w:eastAsia="zh-CN"/>
        </w:rPr>
      </w:pPr>
      <w:bookmarkStart w:id="21" w:name="_Toc14600"/>
      <w:r>
        <w:rPr>
          <w:rFonts w:hint="eastAsia"/>
          <w:sz w:val="28"/>
          <w:szCs w:val="28"/>
          <w:lang w:val="en-US" w:eastAsia="zh-CN"/>
        </w:rPr>
        <w:t>1、存在的主要问题</w:t>
      </w:r>
      <w:bookmarkEnd w:id="21"/>
    </w:p>
    <w:p>
      <w:pPr>
        <w:tabs>
          <w:tab w:val="left" w:pos="625"/>
        </w:tabs>
        <w:autoSpaceDE w:val="0"/>
        <w:autoSpaceDN w:val="0"/>
        <w:adjustRightInd w:val="0"/>
        <w:spacing w:line="540" w:lineRule="exact"/>
        <w:ind w:firstLine="549"/>
        <w:jc w:val="left"/>
        <w:rPr>
          <w:rFonts w:hint="default" w:ascii="仿宋_GB2312" w:eastAsia="仿宋_GB2312"/>
          <w:kern w:val="0"/>
          <w:sz w:val="28"/>
          <w:lang w:val="en-US" w:eastAsia="zh-CN"/>
        </w:rPr>
      </w:pPr>
      <w:bookmarkStart w:id="22" w:name="_Toc19463"/>
      <w:r>
        <w:rPr>
          <w:rFonts w:hint="eastAsia" w:ascii="仿宋_GB2312" w:eastAsia="仿宋_GB2312"/>
          <w:kern w:val="0"/>
          <w:sz w:val="28"/>
          <w:lang w:val="en-US" w:eastAsia="zh-CN"/>
        </w:rPr>
        <w:t>（1）在对周边村民进行调查走访时了解到，有个别村民的建设及施工场地补偿款尚未补偿到位，经核实得知，丁字沟周边的渔民与项目组之间就渔塘周边附着物的拆除补偿标准未协商一致，导致个别村民的补偿款至今未补偿到位。</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r>
        <w:rPr>
          <w:rFonts w:hint="eastAsia" w:ascii="仿宋_GB2312" w:eastAsia="仿宋_GB2312"/>
          <w:kern w:val="0"/>
          <w:sz w:val="28"/>
          <w:lang w:val="en-US" w:eastAsia="zh-CN"/>
        </w:rPr>
        <w:t>（2）绩效评价组在检查各类合同中发现，项目组与施工方（湖北水总水利水电建设股份有限公司）签订的施工合同中，结算条款约定不明确，未清楚约定结算的具体时限，难以确认工程款结算依据。</w:t>
      </w:r>
    </w:p>
    <w:p>
      <w:pPr>
        <w:tabs>
          <w:tab w:val="left" w:pos="625"/>
        </w:tabs>
        <w:autoSpaceDE w:val="0"/>
        <w:autoSpaceDN w:val="0"/>
        <w:adjustRightInd w:val="0"/>
        <w:spacing w:line="540" w:lineRule="exact"/>
        <w:ind w:firstLine="549"/>
        <w:jc w:val="left"/>
        <w:rPr>
          <w:rFonts w:hint="default" w:ascii="仿宋_GB2312" w:eastAsia="仿宋_GB2312"/>
          <w:kern w:val="0"/>
          <w:sz w:val="28"/>
          <w:lang w:val="en-US" w:eastAsia="zh-CN"/>
        </w:rPr>
      </w:pPr>
      <w:r>
        <w:rPr>
          <w:rFonts w:hint="eastAsia" w:ascii="仿宋_GB2312" w:eastAsia="仿宋_GB2312"/>
          <w:kern w:val="0"/>
          <w:sz w:val="28"/>
          <w:lang w:val="en-US" w:eastAsia="zh-CN"/>
        </w:rPr>
        <w:t>（3）由于工程中途出现</w:t>
      </w:r>
      <w:r>
        <w:rPr>
          <w:rFonts w:hint="eastAsia" w:ascii="仿宋_GB2312" w:eastAsia="仿宋_GB2312"/>
          <w:b w:val="0"/>
          <w:bCs w:val="0"/>
          <w:color w:val="auto"/>
          <w:kern w:val="0"/>
          <w:sz w:val="28"/>
          <w:lang w:val="en-US" w:eastAsia="zh-CN"/>
        </w:rPr>
        <w:t>较</w:t>
      </w:r>
      <w:r>
        <w:rPr>
          <w:rFonts w:hint="eastAsia" w:ascii="仿宋_GB2312" w:eastAsia="仿宋_GB2312"/>
          <w:kern w:val="0"/>
          <w:sz w:val="28"/>
          <w:lang w:val="en-US" w:eastAsia="zh-CN"/>
        </w:rPr>
        <w:t>大事项变更，导致工程完工时间已严重滞后。截止绩效评价工作日止，该项目尚未完工，且</w:t>
      </w:r>
      <w:r>
        <w:rPr>
          <w:rFonts w:hint="eastAsia" w:ascii="仿宋_GB2312" w:eastAsia="仿宋_GB2312"/>
          <w:b w:val="0"/>
          <w:bCs w:val="0"/>
          <w:color w:val="auto"/>
          <w:kern w:val="0"/>
          <w:sz w:val="28"/>
          <w:lang w:val="en-US" w:eastAsia="zh-CN"/>
        </w:rPr>
        <w:t>较</w:t>
      </w:r>
      <w:r>
        <w:rPr>
          <w:rFonts w:hint="eastAsia" w:ascii="仿宋_GB2312" w:eastAsia="仿宋_GB2312"/>
          <w:kern w:val="0"/>
          <w:sz w:val="28"/>
          <w:lang w:val="en-US" w:eastAsia="zh-CN"/>
        </w:rPr>
        <w:t>大事项变更手续仍未完成。</w:t>
      </w:r>
    </w:p>
    <w:p>
      <w:pPr>
        <w:pStyle w:val="4"/>
        <w:bidi w:val="0"/>
        <w:rPr>
          <w:rFonts w:hint="default"/>
          <w:lang w:val="en-US" w:eastAsia="zh-CN"/>
        </w:rPr>
      </w:pPr>
      <w:r>
        <w:rPr>
          <w:rFonts w:hint="eastAsia"/>
          <w:lang w:val="en-US" w:eastAsia="zh-CN"/>
        </w:rPr>
        <w:t>2、工作建议</w:t>
      </w:r>
      <w:bookmarkEnd w:id="22"/>
    </w:p>
    <w:p>
      <w:pPr>
        <w:keepNext w:val="0"/>
        <w:keepLines w:val="0"/>
        <w:widowControl/>
        <w:numPr>
          <w:ilvl w:val="0"/>
          <w:numId w:val="0"/>
        </w:numPr>
        <w:suppressLineNumbers w:val="0"/>
        <w:spacing w:before="0" w:beforeAutospacing="1" w:after="0" w:afterAutospacing="1"/>
        <w:rPr>
          <w:rFonts w:hint="eastAsia" w:ascii="仿宋_GB2312" w:eastAsia="仿宋_GB2312"/>
          <w:kern w:val="0"/>
          <w:sz w:val="28"/>
          <w:lang w:val="en-US" w:eastAsia="zh-CN"/>
        </w:rPr>
      </w:pPr>
      <w:bookmarkStart w:id="23" w:name="_Toc13095"/>
      <w:r>
        <w:rPr>
          <w:rFonts w:hint="eastAsia"/>
          <w:sz w:val="28"/>
          <w:szCs w:val="28"/>
          <w:lang w:val="en-US" w:eastAsia="zh-CN"/>
        </w:rPr>
        <w:t xml:space="preserve"> </w:t>
      </w:r>
      <w:r>
        <w:rPr>
          <w:rFonts w:hint="eastAsia" w:ascii="仿宋_GB2312" w:eastAsia="仿宋_GB2312"/>
          <w:kern w:val="0"/>
          <w:sz w:val="28"/>
          <w:lang w:val="en-US" w:eastAsia="zh-CN"/>
        </w:rPr>
        <w:t>1、尽快与村民就补偿标准一事进行协商，确保补偿款早日发放下去。如双方意见确实无法达成一致，建议咨询政府国土资源管理部门。以避免因村民未拿到补偿款阻挠项目部施工、延误工期的潜在风险。</w:t>
      </w:r>
    </w:p>
    <w:p>
      <w:pPr>
        <w:keepNext w:val="0"/>
        <w:keepLines w:val="0"/>
        <w:widowControl/>
        <w:numPr>
          <w:ilvl w:val="0"/>
          <w:numId w:val="0"/>
        </w:numPr>
        <w:suppressLineNumbers w:val="0"/>
        <w:spacing w:before="0" w:beforeAutospacing="1" w:after="0" w:afterAutospacing="1"/>
        <w:rPr>
          <w:rFonts w:hint="eastAsia" w:ascii="仿宋_GB2312" w:eastAsia="仿宋_GB2312"/>
          <w:kern w:val="0"/>
          <w:sz w:val="28"/>
          <w:lang w:val="en-US" w:eastAsia="zh-CN"/>
        </w:rPr>
      </w:pPr>
      <w:r>
        <w:rPr>
          <w:rFonts w:hint="eastAsia" w:ascii="仿宋_GB2312" w:eastAsia="仿宋_GB2312"/>
          <w:kern w:val="0"/>
          <w:sz w:val="28"/>
          <w:lang w:val="en-US" w:eastAsia="zh-CN"/>
        </w:rPr>
        <w:t>2、要规避和控制工程结算法律风险，在合同签订时要重视结算条款，作到全面、严密约定工程款结算条件。按照《合同法》第六十一条规定，建议项目组与施工方签订补充协议，对工程结算的具体时限、质保金、违约金等具体条款进行补充约定。</w:t>
      </w:r>
    </w:p>
    <w:p>
      <w:pPr>
        <w:tabs>
          <w:tab w:val="left" w:pos="625"/>
        </w:tabs>
        <w:autoSpaceDE w:val="0"/>
        <w:autoSpaceDN w:val="0"/>
        <w:adjustRightInd w:val="0"/>
        <w:spacing w:line="540" w:lineRule="exact"/>
        <w:jc w:val="left"/>
        <w:rPr>
          <w:rFonts w:hint="eastAsia" w:ascii="仿宋_GB2312" w:eastAsia="仿宋_GB2312"/>
          <w:kern w:val="0"/>
          <w:sz w:val="28"/>
          <w:lang w:val="en-US" w:eastAsia="zh-CN"/>
        </w:rPr>
      </w:pPr>
      <w:r>
        <w:rPr>
          <w:rFonts w:hint="eastAsia" w:ascii="仿宋_GB2312" w:eastAsia="仿宋_GB2312"/>
          <w:kern w:val="0"/>
          <w:sz w:val="28"/>
          <w:lang w:val="en-US" w:eastAsia="zh-CN"/>
        </w:rPr>
        <w:t>3、加快工程进度，严格工程变更管理，确保工程能在再次约定的工期（2019年11月30日）前如期完工。</w:t>
      </w:r>
    </w:p>
    <w:p>
      <w:pPr>
        <w:tabs>
          <w:tab w:val="left" w:pos="625"/>
        </w:tabs>
        <w:autoSpaceDE w:val="0"/>
        <w:autoSpaceDN w:val="0"/>
        <w:adjustRightInd w:val="0"/>
        <w:spacing w:line="540" w:lineRule="exact"/>
        <w:ind w:firstLine="549"/>
        <w:jc w:val="left"/>
        <w:rPr>
          <w:rFonts w:hint="eastAsia" w:ascii="仿宋_GB2312" w:eastAsia="仿宋_GB2312"/>
          <w:kern w:val="0"/>
          <w:sz w:val="28"/>
          <w:lang w:val="en-US" w:eastAsia="zh-CN"/>
        </w:rPr>
      </w:pPr>
    </w:p>
    <w:p>
      <w:pPr>
        <w:pStyle w:val="3"/>
        <w:numPr>
          <w:ilvl w:val="0"/>
          <w:numId w:val="1"/>
        </w:numPr>
        <w:bidi w:val="0"/>
        <w:rPr>
          <w:rFonts w:hint="eastAsia"/>
          <w:sz w:val="28"/>
          <w:szCs w:val="28"/>
          <w:lang w:val="en-US" w:eastAsia="zh-CN"/>
        </w:rPr>
      </w:pPr>
      <w:r>
        <w:rPr>
          <w:rFonts w:hint="eastAsia"/>
          <w:sz w:val="28"/>
          <w:szCs w:val="28"/>
          <w:lang w:val="en-US" w:eastAsia="zh-CN"/>
        </w:rPr>
        <w:t>其他需要说明的问题</w:t>
      </w:r>
      <w:bookmarkEnd w:id="23"/>
    </w:p>
    <w:p>
      <w:pPr>
        <w:spacing w:line="360" w:lineRule="auto"/>
        <w:ind w:firstLine="560" w:firstLineChars="200"/>
        <w:rPr>
          <w:rFonts w:ascii="仿宋_GB2312" w:hAnsi="宋体" w:eastAsia="仿宋_GB2312"/>
          <w:sz w:val="28"/>
        </w:rPr>
      </w:pPr>
      <w:r>
        <w:rPr>
          <w:rFonts w:ascii="仿宋_GB2312" w:hAnsi="宋体" w:eastAsia="仿宋_GB2312"/>
          <w:sz w:val="28"/>
        </w:rPr>
        <w:t>本次评价工作是在评价领导小组的指导和项目实施单位的配合下完成的，评价小组具体实施评价工作和撰写报告。涉及本项目工程建设管理评价意见来自于造价工程师的专业评判。</w:t>
      </w:r>
    </w:p>
    <w:p>
      <w:pPr>
        <w:spacing w:line="360" w:lineRule="auto"/>
        <w:ind w:firstLine="560" w:firstLineChars="200"/>
        <w:rPr>
          <w:rFonts w:hint="eastAsia" w:ascii="仿宋_GB2312" w:hAnsi="宋体" w:eastAsia="仿宋_GB2312"/>
          <w:sz w:val="28"/>
          <w:lang w:eastAsia="zh-CN"/>
        </w:rPr>
      </w:pPr>
      <w:r>
        <w:rPr>
          <w:rFonts w:hint="eastAsia" w:ascii="仿宋_GB2312" w:hAnsi="宋体" w:eastAsia="仿宋_GB2312"/>
          <w:sz w:val="28"/>
          <w:lang w:eastAsia="zh-CN"/>
        </w:rPr>
        <w:t>由于项目工程尚未完工，故个别指标未做出评价，直接给予得分。</w:t>
      </w:r>
    </w:p>
    <w:p>
      <w:pPr>
        <w:numPr>
          <w:ilvl w:val="0"/>
          <w:numId w:val="0"/>
        </w:numPr>
        <w:jc w:val="both"/>
        <w:rPr>
          <w:rFonts w:hint="default"/>
          <w:b/>
          <w:bCs/>
          <w:sz w:val="28"/>
          <w:szCs w:val="28"/>
          <w:lang w:val="en-US" w:eastAsia="zh-CN"/>
        </w:rPr>
      </w:pPr>
    </w:p>
    <w:p>
      <w:pPr>
        <w:pStyle w:val="3"/>
        <w:bidi w:val="0"/>
        <w:rPr>
          <w:rFonts w:hint="eastAsia"/>
          <w:sz w:val="28"/>
          <w:szCs w:val="28"/>
          <w:lang w:val="en-US" w:eastAsia="zh-CN"/>
        </w:rPr>
      </w:pPr>
      <w:bookmarkStart w:id="24" w:name="_Toc20832"/>
      <w:r>
        <w:rPr>
          <w:rFonts w:hint="eastAsia"/>
          <w:sz w:val="28"/>
          <w:szCs w:val="28"/>
          <w:lang w:val="en-US" w:eastAsia="zh-CN"/>
        </w:rPr>
        <w:t>六、附件：</w:t>
      </w:r>
      <w:bookmarkEnd w:id="24"/>
    </w:p>
    <w:p>
      <w:pPr>
        <w:numPr>
          <w:ilvl w:val="0"/>
          <w:numId w:val="6"/>
        </w:numPr>
        <w:tabs>
          <w:tab w:val="left" w:pos="585"/>
        </w:tabs>
        <w:autoSpaceDE w:val="0"/>
        <w:autoSpaceDN w:val="0"/>
        <w:adjustRightInd w:val="0"/>
        <w:spacing w:line="360" w:lineRule="auto"/>
        <w:rPr>
          <w:rFonts w:ascii="仿宋_GB2312" w:eastAsia="仿宋_GB2312"/>
          <w:sz w:val="28"/>
        </w:rPr>
      </w:pPr>
      <w:r>
        <w:rPr>
          <w:rFonts w:hint="eastAsia" w:ascii="仿宋_GB2312" w:eastAsia="仿宋_GB2312"/>
          <w:sz w:val="28"/>
        </w:rPr>
        <w:t>嘉鱼县余码峡港河治理工程绩效评价指标体系表</w:t>
      </w:r>
    </w:p>
    <w:p>
      <w:pPr>
        <w:numPr>
          <w:ilvl w:val="0"/>
          <w:numId w:val="6"/>
        </w:numPr>
        <w:tabs>
          <w:tab w:val="left" w:pos="585"/>
        </w:tabs>
        <w:autoSpaceDE w:val="0"/>
        <w:autoSpaceDN w:val="0"/>
        <w:adjustRightInd w:val="0"/>
        <w:spacing w:line="360" w:lineRule="auto"/>
        <w:rPr>
          <w:rFonts w:ascii="仿宋_GB2312" w:eastAsia="仿宋_GB2312"/>
          <w:sz w:val="28"/>
        </w:rPr>
      </w:pPr>
      <w:r>
        <w:rPr>
          <w:rFonts w:hint="eastAsia" w:ascii="仿宋_GB2312" w:eastAsia="仿宋_GB2312"/>
          <w:sz w:val="28"/>
          <w:lang w:val="zh-CN"/>
        </w:rPr>
        <w:t>余码（峡港）河治理项目资金收支情况汇总表</w:t>
      </w:r>
    </w:p>
    <w:p>
      <w:pPr>
        <w:numPr>
          <w:ilvl w:val="0"/>
          <w:numId w:val="6"/>
        </w:numPr>
        <w:tabs>
          <w:tab w:val="left" w:pos="585"/>
        </w:tabs>
        <w:autoSpaceDE w:val="0"/>
        <w:autoSpaceDN w:val="0"/>
        <w:adjustRightInd w:val="0"/>
        <w:spacing w:line="360" w:lineRule="auto"/>
        <w:rPr>
          <w:rFonts w:ascii="仿宋_GB2312" w:eastAsia="仿宋_GB2312"/>
          <w:sz w:val="28"/>
        </w:rPr>
      </w:pPr>
      <w:r>
        <w:rPr>
          <w:rFonts w:ascii="仿宋_GB2312" w:eastAsia="仿宋_GB2312"/>
          <w:sz w:val="28"/>
        </w:rPr>
        <w:t>社会调查问卷汇总表</w:t>
      </w:r>
    </w:p>
    <w:p>
      <w:pPr>
        <w:tabs>
          <w:tab w:val="left" w:pos="585"/>
        </w:tabs>
        <w:autoSpaceDE w:val="0"/>
        <w:autoSpaceDN w:val="0"/>
        <w:adjustRightInd w:val="0"/>
        <w:spacing w:line="360" w:lineRule="auto"/>
        <w:rPr>
          <w:rFonts w:ascii="仿宋_GB2312" w:eastAsia="仿宋_GB2312"/>
          <w:sz w:val="28"/>
          <w:lang w:val="zh-CN"/>
        </w:rPr>
      </w:pPr>
      <w:r>
        <w:rPr>
          <w:rFonts w:hint="eastAsia" w:ascii="仿宋_GB2312" w:eastAsia="仿宋_GB2312"/>
          <w:sz w:val="28"/>
          <w:lang w:val="en-US" w:eastAsia="zh-CN"/>
        </w:rPr>
        <w:t>4</w:t>
      </w:r>
      <w:r>
        <w:rPr>
          <w:rFonts w:ascii="仿宋_GB2312" w:eastAsia="仿宋_GB2312"/>
          <w:sz w:val="28"/>
          <w:lang w:val="zh-CN"/>
        </w:rPr>
        <w:t>、项目实地拍摄图片</w:t>
      </w:r>
    </w:p>
    <w:p>
      <w:pPr>
        <w:tabs>
          <w:tab w:val="left" w:pos="585"/>
        </w:tabs>
        <w:autoSpaceDE w:val="0"/>
        <w:autoSpaceDN w:val="0"/>
        <w:adjustRightInd w:val="0"/>
        <w:spacing w:line="360" w:lineRule="auto"/>
        <w:rPr>
          <w:rFonts w:ascii="仿宋_GB2312" w:eastAsia="仿宋_GB2312"/>
          <w:sz w:val="28"/>
          <w:lang w:val="zh-CN"/>
        </w:rPr>
      </w:pPr>
      <w:r>
        <w:rPr>
          <w:rFonts w:hint="eastAsia" w:ascii="仿宋_GB2312" w:eastAsia="仿宋_GB2312"/>
          <w:sz w:val="28"/>
          <w:lang w:val="en-US" w:eastAsia="zh-CN"/>
        </w:rPr>
        <w:t>5</w:t>
      </w:r>
      <w:r>
        <w:rPr>
          <w:rFonts w:ascii="仿宋_GB2312" w:eastAsia="仿宋_GB2312"/>
          <w:sz w:val="28"/>
          <w:lang w:val="zh-CN"/>
        </w:rPr>
        <w:t>、评价机构营业执照复印件</w:t>
      </w:r>
    </w:p>
    <w:p>
      <w:pPr>
        <w:tabs>
          <w:tab w:val="left" w:pos="670"/>
        </w:tabs>
        <w:autoSpaceDE w:val="0"/>
        <w:autoSpaceDN w:val="0"/>
        <w:adjustRightInd w:val="0"/>
        <w:spacing w:line="360" w:lineRule="auto"/>
        <w:rPr>
          <w:rFonts w:ascii="仿宋_GB2312" w:eastAsia="仿宋_GB2312"/>
          <w:sz w:val="28"/>
          <w:lang w:val="zh-CN"/>
        </w:rPr>
      </w:pPr>
      <w:r>
        <w:rPr>
          <w:rFonts w:hint="eastAsia" w:ascii="仿宋_GB2312" w:eastAsia="仿宋_GB2312"/>
          <w:sz w:val="28"/>
          <w:lang w:val="en-US" w:eastAsia="zh-CN"/>
        </w:rPr>
        <w:t>6</w:t>
      </w:r>
      <w:r>
        <w:rPr>
          <w:rFonts w:ascii="仿宋_GB2312" w:eastAsia="仿宋_GB2312"/>
          <w:sz w:val="28"/>
          <w:lang w:val="zh-CN"/>
        </w:rPr>
        <w:t>、评价机构执业证书复印件</w:t>
      </w:r>
    </w:p>
    <w:p>
      <w:pPr>
        <w:tabs>
          <w:tab w:val="left" w:pos="670"/>
        </w:tabs>
        <w:autoSpaceDE w:val="0"/>
        <w:autoSpaceDN w:val="0"/>
        <w:adjustRightInd w:val="0"/>
        <w:spacing w:line="360" w:lineRule="auto"/>
        <w:rPr>
          <w:rFonts w:ascii="仿宋_GB2312" w:eastAsia="仿宋_GB2312"/>
          <w:b/>
          <w:sz w:val="28"/>
          <w:lang w:val="zh-CN"/>
        </w:rPr>
      </w:pPr>
      <w:r>
        <w:rPr>
          <w:rFonts w:hint="eastAsia" w:ascii="仿宋_GB2312" w:eastAsia="仿宋_GB2312"/>
          <w:sz w:val="28"/>
          <w:lang w:val="en-US" w:eastAsia="zh-CN"/>
        </w:rPr>
        <w:t>7</w:t>
      </w:r>
      <w:r>
        <w:rPr>
          <w:rFonts w:ascii="仿宋_GB2312" w:eastAsia="仿宋_GB2312"/>
          <w:sz w:val="28"/>
          <w:lang w:val="zh-CN"/>
        </w:rPr>
        <w:t>、</w:t>
      </w:r>
      <w:r>
        <w:rPr>
          <w:rFonts w:ascii="仿宋_GB2312" w:eastAsia="仿宋_GB2312"/>
          <w:sz w:val="28"/>
        </w:rPr>
        <w:t>评审专家聘书复印件</w:t>
      </w:r>
    </w:p>
    <w:p>
      <w:pPr>
        <w:rPr>
          <w:rFonts w:hint="eastAsia"/>
          <w:b/>
          <w:bCs/>
          <w:sz w:val="28"/>
          <w:szCs w:val="28"/>
          <w:lang w:val="en-US" w:eastAsia="zh-CN"/>
        </w:rPr>
      </w:pPr>
      <w:r>
        <w:rPr>
          <w:rFonts w:hint="eastAsia"/>
          <w:b/>
          <w:bCs/>
          <w:sz w:val="28"/>
          <w:szCs w:val="28"/>
          <w:lang w:val="en-US" w:eastAsia="zh-CN"/>
        </w:rPr>
        <w:br w:type="page"/>
      </w:r>
    </w:p>
    <w:p>
      <w:pPr>
        <w:numPr>
          <w:ilvl w:val="0"/>
          <w:numId w:val="0"/>
        </w:numPr>
        <w:tabs>
          <w:tab w:val="left" w:pos="585"/>
        </w:tabs>
        <w:autoSpaceDE w:val="0"/>
        <w:autoSpaceDN w:val="0"/>
        <w:adjustRightInd w:val="0"/>
        <w:spacing w:line="360" w:lineRule="auto"/>
        <w:rPr>
          <w:rFonts w:hint="eastAsia" w:ascii="仿宋_GB2312" w:eastAsia="仿宋_GB2312"/>
          <w:sz w:val="28"/>
        </w:rPr>
      </w:pPr>
      <w:r>
        <w:rPr>
          <w:rFonts w:hint="eastAsia" w:ascii="仿宋_GB2312" w:eastAsia="仿宋_GB2312"/>
          <w:sz w:val="28"/>
          <w:lang w:eastAsia="zh-CN"/>
        </w:rPr>
        <w:t>附件一：</w:t>
      </w:r>
      <w:r>
        <w:rPr>
          <w:rFonts w:hint="eastAsia" w:ascii="仿宋_GB2312" w:eastAsia="仿宋_GB2312"/>
          <w:sz w:val="28"/>
        </w:rPr>
        <w:t>嘉鱼县余码峡港河治理工程绩效评价指标体系表</w:t>
      </w:r>
    </w:p>
    <w:tbl>
      <w:tblPr>
        <w:tblStyle w:val="11"/>
        <w:tblW w:w="9220" w:type="dxa"/>
        <w:tblInd w:w="0" w:type="dxa"/>
        <w:shd w:val="clear" w:color="auto" w:fill="auto"/>
        <w:tblLayout w:type="fixed"/>
        <w:tblCellMar>
          <w:top w:w="0" w:type="dxa"/>
          <w:left w:w="0" w:type="dxa"/>
          <w:bottom w:w="0" w:type="dxa"/>
          <w:right w:w="0" w:type="dxa"/>
        </w:tblCellMar>
      </w:tblPr>
      <w:tblGrid>
        <w:gridCol w:w="447"/>
        <w:gridCol w:w="414"/>
        <w:gridCol w:w="504"/>
        <w:gridCol w:w="373"/>
        <w:gridCol w:w="1639"/>
        <w:gridCol w:w="2765"/>
        <w:gridCol w:w="2608"/>
        <w:gridCol w:w="470"/>
      </w:tblGrid>
      <w:tr>
        <w:tblPrEx>
          <w:shd w:val="clear" w:color="auto" w:fill="auto"/>
          <w:tblCellMar>
            <w:top w:w="0" w:type="dxa"/>
            <w:left w:w="0" w:type="dxa"/>
            <w:bottom w:w="0" w:type="dxa"/>
            <w:right w:w="0" w:type="dxa"/>
          </w:tblCellMar>
        </w:tblPrEx>
        <w:trPr>
          <w:trHeight w:val="716" w:hRule="atLeast"/>
        </w:trPr>
        <w:tc>
          <w:tcPr>
            <w:tcW w:w="9220" w:type="dxa"/>
            <w:gridSpan w:val="8"/>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嘉鱼县余码峡港河治理工程绩效评价指标体系表</w:t>
            </w:r>
          </w:p>
        </w:tc>
      </w:tr>
      <w:tr>
        <w:tblPrEx>
          <w:shd w:val="clear" w:color="auto" w:fill="auto"/>
          <w:tblCellMar>
            <w:top w:w="0" w:type="dxa"/>
            <w:left w:w="0" w:type="dxa"/>
            <w:bottom w:w="0" w:type="dxa"/>
            <w:right w:w="0" w:type="dxa"/>
          </w:tblCellMar>
        </w:tblPrEx>
        <w:trPr>
          <w:trHeight w:val="1293"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一级指标</w:t>
            </w:r>
          </w:p>
        </w:tc>
        <w:tc>
          <w:tcPr>
            <w:tcW w:w="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二级指标</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三级指标</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权重</w:t>
            </w: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指标解释</w:t>
            </w:r>
          </w:p>
        </w:tc>
        <w:tc>
          <w:tcPr>
            <w:tcW w:w="2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指标说明</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本次评价项目指标说明</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得分</w:t>
            </w:r>
          </w:p>
        </w:tc>
      </w:tr>
      <w:tr>
        <w:tblPrEx>
          <w:shd w:val="clear" w:color="auto" w:fill="auto"/>
          <w:tblCellMar>
            <w:top w:w="0" w:type="dxa"/>
            <w:left w:w="0" w:type="dxa"/>
            <w:bottom w:w="0" w:type="dxa"/>
            <w:right w:w="0" w:type="dxa"/>
          </w:tblCellMar>
        </w:tblPrEx>
        <w:trPr>
          <w:trHeight w:val="365" w:hRule="atLeast"/>
        </w:trPr>
        <w:tc>
          <w:tcPr>
            <w:tcW w:w="4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投  入</w:t>
            </w:r>
          </w:p>
        </w:tc>
        <w:tc>
          <w:tcPr>
            <w:tcW w:w="4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项目立项</w:t>
            </w: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项目立项规范性</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项目的申请、设立过程是否符合相关要求，用以反映和考核项目立项的规范情况。</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评价要点：</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总项目：</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①是否有规划；</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②是否按管理办法和分配办法分配资金。</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具体项目：</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①是否有规划；</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②项目是否按照规定的程序申请设立;</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③所提交的文件，材料是否符合相关要求；</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④事前是否已经过必要的可行性研究、专家论证、风险评估、集体决策等;</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⑤项目执行时是否发生重大调整。</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项目按规定的程序申请设立，并委托荆门市水利勘察设计院对项目进行了事前设计、专家论证、风险评估。2、所提交的申请治理文件材料符合相关要求，整个项目有规划、有申请、有批复。3、按《中央财政水利发展资金使用管理办法》、《湖北省中央财政水利发展资金使用管理实施细则》有关规定，对专项资金进行了及时分配及下拨。4、项目执行过程中发生了重大调整，扣0.5分。</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1838"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1850"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绩效目标合理性</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项目是否设定绩效目标和绩效指标，所设定的绩效目标和指标是否符合实际，用以反映和考核项目绩效目标与项目实施的相符情况。 </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评价要点：</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①是否设定长期目标，年度目标和绩效指标；</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②目标和指标的设计是否符合目标管理规范;</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③根据绩效目标和完成情况的对比考核目标设立的合理性；</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④绩效指标是否具有可测性。</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项目组设定了《项目支出绩效目标申报表》，表中所设计的年度目标及绩效指标符合目标管理规范，绩效指标具有可测性。</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1806"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资金落实</w:t>
            </w: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资金到位率</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实际到位资金与计划投入资金的比率，用以反应和考核资金落实情况对项目实施的总体保障程度。</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资金到位率=（实际到位资金/计划投入资金）×100%。</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实际到位资金：一定时期（本年度或项目期）内实际落实到具体项目的资金。</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计划投入资金：一定时期（本年度或项目期）内计划投入到具体项目的资金。（注：分预算资金、配套资金、自筹资金评价）</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中央财政资金2004万元、县级配套资金189.3万元已全部，资金到位率100%。</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424"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677"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到位及时率</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及时到位资金与应到位资金的比率，用以反映和考核项目资金落实的及时性程度。</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Style w:val="22"/>
                <w:lang w:val="en-US" w:eastAsia="zh-CN" w:bidi="ar"/>
              </w:rPr>
            </w:pPr>
            <w:r>
              <w:rPr>
                <w:rStyle w:val="22"/>
                <w:lang w:val="en-US" w:eastAsia="zh-CN" w:bidi="ar"/>
              </w:rPr>
              <w:t>到位及时率=（及时到位资金</w:t>
            </w:r>
            <w:r>
              <w:rPr>
                <w:rStyle w:val="23"/>
                <w:rFonts w:eastAsia="宋体"/>
                <w:lang w:val="en-US" w:eastAsia="zh-CN" w:bidi="ar"/>
              </w:rPr>
              <w:t>/</w:t>
            </w:r>
            <w:r>
              <w:rPr>
                <w:rStyle w:val="22"/>
                <w:lang w:val="en-US" w:eastAsia="zh-CN" w:bidi="ar"/>
              </w:rPr>
              <w:t>应到位资金）×100%。</w:t>
            </w:r>
          </w:p>
          <w:p>
            <w:pPr>
              <w:keepNext w:val="0"/>
              <w:keepLines w:val="0"/>
              <w:widowControl/>
              <w:suppressLineNumbers w:val="0"/>
              <w:jc w:val="left"/>
              <w:textAlignment w:val="center"/>
              <w:rPr>
                <w:rStyle w:val="22"/>
                <w:lang w:val="en-US" w:eastAsia="zh-CN" w:bidi="ar"/>
              </w:rPr>
            </w:pPr>
            <w:r>
              <w:rPr>
                <w:rStyle w:val="22"/>
                <w:lang w:val="en-US" w:eastAsia="zh-CN" w:bidi="ar"/>
              </w:rPr>
              <w:t>及时到位资金：截至规定时点实际落实到具体项目的资金。</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Style w:val="22"/>
                <w:lang w:val="en-US" w:eastAsia="zh-CN" w:bidi="ar"/>
              </w:rPr>
              <w:t>应到位资金：按照合同或项目进度要求截至规定时点应落实到具体项目的资金。（注：分预算资金、配套资金、自筹资金评价）</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中央财政资金分别于2017年12月11日及2018年12月3日到位；县级配套资金分别于2018年1月23日、2018年9月20日及2019年5月11日到位，资金到位及时率100%。</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677"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1500"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过</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w:t>
            </w:r>
          </w:p>
        </w:tc>
        <w:tc>
          <w:tcPr>
            <w:tcW w:w="4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项目管理</w:t>
            </w: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22"/>
                <w:lang w:val="en-US" w:eastAsia="zh-CN" w:bidi="ar"/>
              </w:rPr>
              <w:t>管理制度健全性</w:t>
            </w:r>
            <w:r>
              <w:rPr>
                <w:rStyle w:val="23"/>
                <w:rFonts w:eastAsia="宋体"/>
                <w:lang w:val="en-US" w:eastAsia="zh-CN" w:bidi="ar"/>
              </w:rPr>
              <w:t xml:space="preserve"> </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项目管理制度是否健全，用以反映和考核项目管理制度对项目顺利实施的保障情况。</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评价要点：</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总项目：</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①是否制定项目管理制度；</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②项目管理制度是否合法、合规、完整;</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具体项目：</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①是否已制定或具有相应的项目管理制度;</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②项目管理制度是否合法、合规、完整。</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项目组及施工方制定了《质量管理体系及保证措施》、《防汛应急预案》、《安全生产监理实施细则》等一系列管理制度，制度合法、合规、完整，为项目的顺利实施提供了保障。</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138"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制度执行有效性</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项目实施是否符合相关项目管理规定，用以反映和考核项目管理制度的有效执行情况。</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评价要点：</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总项目：</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①是否按项目管理制度进行管理；</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具体项目：</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①是否遵守相关法律法规和项目管理规定；</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②项目调整及支出调整手续是否完备；</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③是是否严格执行项目管理程序及招投标制、监理制、合同制、项目公示制、政府采购等（针对具体项目对应评价）；</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④项目合同书，验收报告，技术鉴定等资料是否齐全并及时归档；</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⑤项目实施的人员条件、场地设备，信息支撑等是否落实到位。</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1、经抽查《监理施工日志》，项目严格按各类管理制定执行。                    2、经检查招投标文件及合同，勘察、监理、施工均通过政府采购行为确定供应商，有严格的招投标程序、并鉴定了合同。                              3、经检查，项目实施的人员条件、场地设备、信息支撑等均已落实到位，包括人员变更等申报</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24"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项目质量可控性</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2 </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项目实施单位是否为达到项目质量要求而采取了必需的措施，用以反映和考核项目实施单位对项目质量的控制情况。</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评价要点：</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①是否已制定或具有相应的项目质量要求或标准；</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②是否采取了相应的项目质量检查、验收等必需的控制措施或手段。</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的质量检测工作聘请了专业机构（湖北正平水利水电工程质量检测有限公司），制定了《项目安全管理体系》、《工程技术质量管理制度》等一系列制度，保证了项目在实施过程中有专业的质量检查控制措施。</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2073"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财务管理</w:t>
            </w: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22"/>
                <w:lang w:val="en-US" w:eastAsia="zh-CN" w:bidi="ar"/>
              </w:rPr>
              <w:t>管理制度健全性</w:t>
            </w:r>
            <w:r>
              <w:rPr>
                <w:rStyle w:val="23"/>
                <w:rFonts w:eastAsia="宋体"/>
                <w:lang w:val="en-US" w:eastAsia="zh-CN" w:bidi="ar"/>
              </w:rPr>
              <w:t xml:space="preserve"> </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项目实施单位的财务制度是否健全，用以反映和考核财务管理制度对资金规范、安全运行的保障情况。</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评价要点：</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①是否已制定或具有相应的项目资金管理办法；</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②项自资金管理办法是否符合相关财务会计制度的规定。</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项目制定了相应的资金管理办法。资金管理办法符合相关财务制度的规定。</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157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资金使用合规性</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项目资金使用是否符合相关的财务管理制度规定，用以反映和考核项目资金的规范运行情况。</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评价要点：</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①是否符合国家财经法规和财务管理制度以及有关专项资金管理办法的规定;</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②资金的拨付</w:t>
            </w:r>
            <w:bookmarkStart w:id="25" w:name="_GoBack"/>
            <w:bookmarkEnd w:id="25"/>
            <w:r>
              <w:rPr>
                <w:rFonts w:hint="eastAsia" w:ascii="宋体" w:hAnsi="宋体" w:eastAsia="宋体" w:cs="宋体"/>
                <w:i w:val="0"/>
                <w:color w:val="000000"/>
                <w:kern w:val="0"/>
                <w:sz w:val="20"/>
                <w:szCs w:val="20"/>
                <w:u w:val="none"/>
                <w:lang w:val="en-US" w:eastAsia="zh-CN" w:bidi="ar"/>
              </w:rPr>
              <w:t>是否有完整的审批程序和手续；</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③项目的重大开支是否经过评估认证；</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④是否符合项目预算批复或合同规定的用途；</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⑤是否存在截留、挤占、挪用、虚列支出等情况。</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1、项目资金的使用符合国家财经法规和财务管理制度以及有关专项资金管理办法的规定；                        2、资金的拨付有完整的审批程序和手续；                              3、项目的重大开支经过监理单位、建设单位、审计单位签字确认，手续合规合法。                                         4、各项资金支出符合项目预算批复及合同规定的用途。                     5、项目资金专款专用，由施工方申请、经过完整的审批程序后，由财政零余额账户直接拨付，不存在截留、挤占、挪用、虚列支出等情况。</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097"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财务监控有效性</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项目实施单位是否为保障资金的安全、规范运行而采取了必要的监控措施，用以反映和考核项目实施单位对资金运行的控制情况。</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评价要点：</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①是否已制定或具有相应的监控机制；</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②是否采取了相应的财务检查等必要的监控措施或手段。</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①嘉鱼县中小河流建设管理办公室下设财务部，专人专账对本项目资金进行管理②项目工程款由县级财政统一支付，各项待摊费用由县财政根据审批后的申请单直接拨付至嘉鱼县中小河流建设管理办公室专户，由本单位自行支付，支付流程合法合规。财务监控措施有效。</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2660"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产</w:t>
            </w:r>
          </w:p>
          <w:p>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w:t>
            </w:r>
          </w:p>
        </w:tc>
        <w:tc>
          <w:tcPr>
            <w:tcW w:w="4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项目产出</w:t>
            </w: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实际完成率</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Style w:val="22"/>
                <w:lang w:val="en-US" w:eastAsia="zh-CN" w:bidi="ar"/>
              </w:rPr>
              <w:t>项县实施的实际产出数与计划产出数的</w:t>
            </w:r>
            <w:r>
              <w:rPr>
                <w:rStyle w:val="23"/>
                <w:rFonts w:eastAsia="宋体"/>
                <w:lang w:val="en-US" w:eastAsia="zh-CN" w:bidi="ar"/>
              </w:rPr>
              <w:t xml:space="preserve"> </w:t>
            </w:r>
            <w:r>
              <w:rPr>
                <w:rStyle w:val="22"/>
                <w:lang w:val="en-US" w:eastAsia="zh-CN" w:bidi="ar"/>
              </w:rPr>
              <w:t>比率，用以反映和考核项目产出数量目标的实现程度。</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实际完成率=（实际产出数/计划产出数）x100%。</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实际产出数：一定时期（本年度或项目期）内项目实际产出的产品或提供的服务数量。</w:t>
            </w:r>
          </w:p>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计划产出数：项目绩效目标确定的在一定时期（本年度或项目期）内计划产出的产品或提供的服务数量。</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根据监理月报，截至2019年8月25日，工程实际完成率为94.84%</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227"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完成及时率</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项目实际提前完成时间与计划完成时间的比率，用以反映和考核项目产出时效目标的实现程度。</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Style w:val="22"/>
                <w:lang w:val="en-US" w:eastAsia="zh-CN" w:bidi="ar"/>
              </w:rPr>
            </w:pPr>
            <w:r>
              <w:rPr>
                <w:rStyle w:val="22"/>
                <w:lang w:val="en-US" w:eastAsia="zh-CN" w:bidi="ar"/>
              </w:rPr>
              <w:t>完成及时率=[（计划完成时间</w:t>
            </w:r>
            <w:r>
              <w:rPr>
                <w:rStyle w:val="23"/>
                <w:rFonts w:eastAsia="宋体"/>
                <w:lang w:val="en-US" w:eastAsia="zh-CN" w:bidi="ar"/>
              </w:rPr>
              <w:t>-</w:t>
            </w:r>
            <w:r>
              <w:rPr>
                <w:rStyle w:val="22"/>
                <w:lang w:val="en-US" w:eastAsia="zh-CN" w:bidi="ar"/>
              </w:rPr>
              <w:t>实际完成时间）</w:t>
            </w:r>
            <w:r>
              <w:rPr>
                <w:rStyle w:val="23"/>
                <w:rFonts w:eastAsia="宋体"/>
                <w:lang w:val="en-US" w:eastAsia="zh-CN" w:bidi="ar"/>
              </w:rPr>
              <w:t>/</w:t>
            </w:r>
            <w:r>
              <w:rPr>
                <w:rStyle w:val="22"/>
                <w:lang w:val="en-US" w:eastAsia="zh-CN" w:bidi="ar"/>
              </w:rPr>
              <w:t>计划完成时间</w:t>
            </w:r>
            <w:r>
              <w:rPr>
                <w:rStyle w:val="23"/>
                <w:rFonts w:eastAsia="宋体"/>
                <w:lang w:val="en-US" w:eastAsia="zh-CN" w:bidi="ar"/>
              </w:rPr>
              <w:t>]X100%</w:t>
            </w:r>
            <w:r>
              <w:rPr>
                <w:rStyle w:val="22"/>
                <w:lang w:val="en-US" w:eastAsia="zh-CN" w:bidi="ar"/>
              </w:rPr>
              <w:t>。</w:t>
            </w:r>
          </w:p>
          <w:p>
            <w:pPr>
              <w:keepNext w:val="0"/>
              <w:keepLines w:val="0"/>
              <w:widowControl/>
              <w:suppressLineNumbers w:val="0"/>
              <w:jc w:val="left"/>
              <w:textAlignment w:val="center"/>
              <w:rPr>
                <w:rStyle w:val="22"/>
                <w:lang w:val="en-US" w:eastAsia="zh-CN" w:bidi="ar"/>
              </w:rPr>
            </w:pPr>
            <w:r>
              <w:rPr>
                <w:rStyle w:val="22"/>
                <w:lang w:val="en-US" w:eastAsia="zh-CN" w:bidi="ar"/>
              </w:rPr>
              <w:t>实际完成时间：项目实施单位完成该项目实际所耗用的时间。</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Style w:val="22"/>
                <w:lang w:val="en-US" w:eastAsia="zh-CN" w:bidi="ar"/>
              </w:rPr>
              <w:t>计划完成时间：按照项目实施计划或相关规定完成该项目所需的时间。</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项目于2018.4.21日开工，计划完成时间为2019.4.21日，历时365天，由于有重大工程变更事项，导致项目计划于2019.11.30日完工。历时588天。完成及时率=【（365-588）/365】*100%=61%</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1631"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22"/>
                <w:lang w:val="en-US" w:eastAsia="zh-CN" w:bidi="ar"/>
              </w:rPr>
              <w:t>质量达标率</w:t>
            </w:r>
            <w:r>
              <w:rPr>
                <w:rStyle w:val="23"/>
                <w:rFonts w:eastAsia="宋体"/>
                <w:lang w:val="en-US" w:eastAsia="zh-CN" w:bidi="ar"/>
              </w:rPr>
              <w:t xml:space="preserve"> </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项目完成的质量达标产出数与实际产出数的比率，用以反映和考核项目产出时效目标的实现程度。</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Style w:val="22"/>
                <w:lang w:val="en-US" w:eastAsia="zh-CN" w:bidi="ar"/>
              </w:rPr>
            </w:pPr>
            <w:r>
              <w:rPr>
                <w:rStyle w:val="22"/>
                <w:lang w:val="en-US" w:eastAsia="zh-CN" w:bidi="ar"/>
              </w:rPr>
              <w:t>质量达标率=（质量达标产出数</w:t>
            </w:r>
            <w:r>
              <w:rPr>
                <w:rStyle w:val="23"/>
                <w:rFonts w:eastAsia="宋体"/>
                <w:lang w:val="en-US" w:eastAsia="zh-CN" w:bidi="ar"/>
              </w:rPr>
              <w:t>/</w:t>
            </w:r>
            <w:r>
              <w:rPr>
                <w:rStyle w:val="22"/>
                <w:lang w:val="en-US" w:eastAsia="zh-CN" w:bidi="ar"/>
              </w:rPr>
              <w:t>实际产出数）</w:t>
            </w:r>
            <w:r>
              <w:rPr>
                <w:rStyle w:val="23"/>
                <w:rFonts w:eastAsia="宋体"/>
                <w:lang w:val="en-US" w:eastAsia="zh-CN" w:bidi="ar"/>
              </w:rPr>
              <w:t>x100%</w:t>
            </w:r>
            <w:r>
              <w:rPr>
                <w:rStyle w:val="22"/>
                <w:lang w:val="en-US" w:eastAsia="zh-CN" w:bidi="ar"/>
              </w:rPr>
              <w:t>。</w:t>
            </w:r>
          </w:p>
          <w:p>
            <w:pPr>
              <w:keepNext w:val="0"/>
              <w:keepLines w:val="0"/>
              <w:widowControl/>
              <w:suppressLineNumbers w:val="0"/>
              <w:jc w:val="left"/>
              <w:textAlignment w:val="center"/>
              <w:rPr>
                <w:rStyle w:val="22"/>
                <w:lang w:val="en-US" w:eastAsia="zh-CN" w:bidi="ar"/>
              </w:rPr>
            </w:pPr>
            <w:r>
              <w:rPr>
                <w:rStyle w:val="22"/>
                <w:lang w:val="en-US" w:eastAsia="zh-CN" w:bidi="ar"/>
              </w:rPr>
              <w:t>质量达标产出数：一定时期（本年度或项目期）内实际达到既定质量标准的产品或服务数量。</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Style w:val="22"/>
                <w:lang w:val="en-US" w:eastAsia="zh-CN" w:bidi="ar"/>
              </w:rPr>
              <w:t>既定质量标准是指项目实施单位设立绩效目标时依据计划标准、行业标准、历史标准或其他标准而设定的绩效指标值。</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由于项目尚未完工，无工程验收报告，本次考核对此项不予以评价</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29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资金使用率</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项目实际支出与项目到位资金的比率，用以反映和考核项目资金使用情况。</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Style w:val="22"/>
                <w:lang w:val="en-US" w:eastAsia="zh-CN" w:bidi="ar"/>
              </w:rPr>
            </w:pPr>
            <w:r>
              <w:rPr>
                <w:rStyle w:val="22"/>
                <w:lang w:val="en-US" w:eastAsia="zh-CN" w:bidi="ar"/>
              </w:rPr>
              <w:t>资金使用率=项目实际支出</w:t>
            </w:r>
            <w:r>
              <w:rPr>
                <w:rStyle w:val="23"/>
                <w:rFonts w:eastAsia="宋体"/>
                <w:lang w:val="en-US" w:eastAsia="zh-CN" w:bidi="ar"/>
              </w:rPr>
              <w:t>/</w:t>
            </w:r>
            <w:r>
              <w:rPr>
                <w:rStyle w:val="22"/>
                <w:lang w:val="en-US" w:eastAsia="zh-CN" w:bidi="ar"/>
              </w:rPr>
              <w:t>项目到位资金</w:t>
            </w:r>
            <w:r>
              <w:rPr>
                <w:rStyle w:val="23"/>
                <w:rFonts w:eastAsia="宋体"/>
                <w:lang w:val="en-US" w:eastAsia="zh-CN" w:bidi="ar"/>
              </w:rPr>
              <w:t>x100%</w:t>
            </w:r>
            <w:r>
              <w:rPr>
                <w:rStyle w:val="22"/>
                <w:lang w:val="en-US" w:eastAsia="zh-CN" w:bidi="ar"/>
              </w:rPr>
              <w:t>。</w:t>
            </w:r>
          </w:p>
          <w:p>
            <w:pPr>
              <w:keepNext w:val="0"/>
              <w:keepLines w:val="0"/>
              <w:widowControl/>
              <w:suppressLineNumbers w:val="0"/>
              <w:jc w:val="left"/>
              <w:textAlignment w:val="center"/>
              <w:rPr>
                <w:rStyle w:val="22"/>
                <w:lang w:val="en-US" w:eastAsia="zh-CN" w:bidi="ar"/>
              </w:rPr>
            </w:pPr>
            <w:r>
              <w:rPr>
                <w:rStyle w:val="22"/>
                <w:lang w:val="en-US" w:eastAsia="zh-CN" w:bidi="ar"/>
              </w:rPr>
              <w:t>实际支出：项目实施单位为完成既定工作目标一定时期（本年度或项目期）内实际所耗费的支出。</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Style w:val="22"/>
                <w:lang w:val="en-US" w:eastAsia="zh-CN" w:bidi="ar"/>
              </w:rPr>
              <w:t>到位资金：一定时期（本年度或项目期）内实际落实到具体项目的资金。</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①按资金到位及支出比例方式分析，本项目实际到位资金2193.3万元，实际支出1157万元，资金使用率为53%。②按分项工程完工情况及资金支付情况分析，资金支付平均比率也仅为57.66%。（分项工程完工及资金支付情况见正式报告中附表）。③个别渔民的拆迁补偿款尚未补偿到位。具体原因见报告内容</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167"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效</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果</w:t>
            </w:r>
          </w:p>
        </w:tc>
        <w:tc>
          <w:tcPr>
            <w:tcW w:w="4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项目效益</w:t>
            </w: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22"/>
                <w:lang w:val="en-US" w:eastAsia="zh-CN" w:bidi="ar"/>
              </w:rPr>
              <w:t>经济效益</w:t>
            </w:r>
            <w:r>
              <w:rPr>
                <w:rStyle w:val="23"/>
                <w:rFonts w:eastAsia="宋体"/>
                <w:lang w:val="en-US" w:eastAsia="zh-CN" w:bidi="ar"/>
              </w:rPr>
              <w:t xml:space="preserve"> </w:t>
            </w:r>
          </w:p>
        </w:tc>
        <w:tc>
          <w:tcPr>
            <w:tcW w:w="3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40 </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项目实施对经济发展所带来的直接或间接影响情况。</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此四项指标为设置项目支出绩效评价指标时必需考虑的共性要素，应根据项目实际并结合绩效目标设立情况有选译的进行设置，并将其细化为相应的个性化指标。 </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项目实施后，有效的保护了嘉鱼县渡普镇2成人、3万亩耕地的财产安全。</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860"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22"/>
                <w:lang w:val="en-US" w:eastAsia="zh-CN" w:bidi="ar"/>
              </w:rPr>
              <w:t>社会效益</w:t>
            </w:r>
            <w:r>
              <w:rPr>
                <w:rStyle w:val="23"/>
                <w:rFonts w:eastAsia="宋体"/>
                <w:lang w:val="en-US" w:eastAsia="zh-CN" w:bidi="ar"/>
              </w:rPr>
              <w:t xml:space="preserve"> </w:t>
            </w: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项目实施对社会发展所带来的直接或间接影响情况。</w:t>
            </w: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通过河道清淤疏挖和堤防加固，扩大了河道的泄洪排涝能力，防洪标准由3年一遇提高到了10年一遇</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1171"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w:t>
            </w: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项目实施对生态环境所带来的直接或间接影响情况。</w:t>
            </w: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次工程治理范围为峡港河干流段，治理河长共计11.568公里，主要建设内容为河道疏挖和堤防加固。整治范围和力度适度，未对河流生态系统过度干扰，且材料均采购生态型河道整治工程材料，对河流以及周边生态系统的恢复和保护有事半功倍的效果。</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r>
      <w:tr>
        <w:tblPrEx>
          <w:shd w:val="clear" w:color="auto" w:fill="auto"/>
          <w:tblCellMar>
            <w:top w:w="0" w:type="dxa"/>
            <w:left w:w="0" w:type="dxa"/>
            <w:bottom w:w="0" w:type="dxa"/>
            <w:right w:w="0" w:type="dxa"/>
          </w:tblCellMar>
        </w:tblPrEx>
        <w:trPr>
          <w:trHeight w:val="2660"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22"/>
                <w:lang w:val="en-US" w:eastAsia="zh-CN" w:bidi="ar"/>
              </w:rPr>
              <w:t>可持续影响</w:t>
            </w:r>
            <w:r>
              <w:rPr>
                <w:rStyle w:val="23"/>
                <w:rFonts w:eastAsia="宋体"/>
                <w:lang w:val="en-US" w:eastAsia="zh-CN" w:bidi="ar"/>
              </w:rPr>
              <w:t xml:space="preserve"> </w:t>
            </w: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项目后续运行及成效发挥的可持续影响情况。</w:t>
            </w: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项目尚未完工，无法对后续运行及成效发挥情况进行调查走访。此次考核对此项不予以评价。</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r>
      <w:tr>
        <w:tblPrEx>
          <w:shd w:val="clear" w:color="auto" w:fill="auto"/>
          <w:tblCellMar>
            <w:top w:w="0" w:type="dxa"/>
            <w:left w:w="0" w:type="dxa"/>
            <w:bottom w:w="0" w:type="dxa"/>
            <w:right w:w="0" w:type="dxa"/>
          </w:tblCellMar>
        </w:tblPrEx>
        <w:trPr>
          <w:trHeight w:val="860"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65"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22"/>
                <w:lang w:val="en-US" w:eastAsia="zh-CN" w:bidi="ar"/>
              </w:rPr>
            </w:pPr>
            <w:r>
              <w:rPr>
                <w:rStyle w:val="22"/>
                <w:lang w:val="en-US" w:eastAsia="zh-CN" w:bidi="ar"/>
              </w:rPr>
              <w:t>社会公众或服务</w:t>
            </w:r>
          </w:p>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22"/>
                <w:lang w:val="en-US" w:eastAsia="zh-CN" w:bidi="ar"/>
              </w:rPr>
              <w:t>对象满意度</w:t>
            </w: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Style w:val="22"/>
                <w:lang w:val="en-US" w:eastAsia="zh-CN" w:bidi="ar"/>
              </w:rPr>
              <w:t>社会公众或服务对象对项目实花效果的满意程度</w:t>
            </w:r>
            <w:r>
              <w:rPr>
                <w:rStyle w:val="23"/>
                <w:rFonts w:eastAsia="宋体"/>
                <w:lang w:val="en-US" w:eastAsia="zh-CN" w:bidi="ar"/>
              </w:rPr>
              <w:t>.</w:t>
            </w:r>
          </w:p>
        </w:tc>
        <w:tc>
          <w:tcPr>
            <w:tcW w:w="2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社会公众或服务对象是指因该项目实施而受到影响的部门（单位）、群体或个人。一般采取社会调查的方式。</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通过对河道周边的群众进行调查走访，群众对实施项目的满意度较高。</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r>
      <w:tr>
        <w:tblPrEx>
          <w:tblCellMar>
            <w:top w:w="0" w:type="dxa"/>
            <w:left w:w="0" w:type="dxa"/>
            <w:bottom w:w="0" w:type="dxa"/>
            <w:right w:w="0" w:type="dxa"/>
          </w:tblCellMar>
        </w:tblPrEx>
        <w:trPr>
          <w:trHeight w:val="1886" w:hRule="atLeast"/>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34"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2"/>
                <w:szCs w:val="22"/>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2"/>
                <w:szCs w:val="22"/>
                <w:u w:val="none"/>
              </w:rPr>
            </w:pP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100</w:t>
            </w: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2"/>
                <w:szCs w:val="22"/>
                <w:u w:val="none"/>
              </w:rPr>
            </w:pPr>
          </w:p>
        </w:tc>
        <w:tc>
          <w:tcPr>
            <w:tcW w:w="2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2"/>
                <w:szCs w:val="22"/>
                <w:u w:val="none"/>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90</w:t>
            </w:r>
          </w:p>
        </w:tc>
      </w:tr>
    </w:tbl>
    <w:p>
      <w:pPr>
        <w:numPr>
          <w:ilvl w:val="0"/>
          <w:numId w:val="0"/>
        </w:numPr>
        <w:tabs>
          <w:tab w:val="left" w:pos="585"/>
        </w:tabs>
        <w:autoSpaceDE w:val="0"/>
        <w:autoSpaceDN w:val="0"/>
        <w:adjustRightInd w:val="0"/>
        <w:spacing w:line="360" w:lineRule="auto"/>
        <w:rPr>
          <w:rFonts w:ascii="仿宋_GB2312" w:eastAsia="仿宋_GB2312"/>
          <w:sz w:val="28"/>
        </w:rPr>
      </w:pPr>
    </w:p>
    <w:p>
      <w:pPr>
        <w:numPr>
          <w:ilvl w:val="0"/>
          <w:numId w:val="0"/>
        </w:numPr>
        <w:tabs>
          <w:tab w:val="left" w:pos="585"/>
        </w:tabs>
        <w:autoSpaceDE w:val="0"/>
        <w:autoSpaceDN w:val="0"/>
        <w:adjustRightInd w:val="0"/>
        <w:spacing w:line="360" w:lineRule="auto"/>
        <w:rPr>
          <w:rFonts w:ascii="仿宋_GB2312" w:eastAsia="仿宋_GB2312"/>
          <w:sz w:val="28"/>
          <w:lang w:val="zh-CN"/>
        </w:rPr>
      </w:pPr>
      <w:r>
        <w:rPr>
          <w:rFonts w:hint="eastAsia"/>
          <w:b w:val="0"/>
          <w:bCs w:val="0"/>
          <w:sz w:val="28"/>
          <w:szCs w:val="28"/>
          <w:lang w:val="en-US" w:eastAsia="zh-CN"/>
        </w:rPr>
        <w:t>附件二：</w:t>
      </w:r>
      <w:r>
        <w:rPr>
          <w:rFonts w:hint="eastAsia" w:ascii="仿宋_GB2312" w:eastAsia="仿宋_GB2312"/>
          <w:b w:val="0"/>
          <w:bCs w:val="0"/>
          <w:sz w:val="28"/>
          <w:lang w:val="zh-CN"/>
        </w:rPr>
        <w:t>余</w:t>
      </w:r>
      <w:r>
        <w:rPr>
          <w:rFonts w:hint="eastAsia" w:ascii="仿宋_GB2312" w:eastAsia="仿宋_GB2312"/>
          <w:sz w:val="28"/>
          <w:lang w:val="zh-CN"/>
        </w:rPr>
        <w:t>码（峡港）河治理项目资金收支情况汇总表</w:t>
      </w:r>
    </w:p>
    <w:tbl>
      <w:tblPr>
        <w:tblStyle w:val="11"/>
        <w:tblW w:w="9140" w:type="dxa"/>
        <w:tblInd w:w="0" w:type="dxa"/>
        <w:shd w:val="clear" w:color="auto" w:fill="auto"/>
        <w:tblLayout w:type="fixed"/>
        <w:tblCellMar>
          <w:top w:w="0" w:type="dxa"/>
          <w:left w:w="0" w:type="dxa"/>
          <w:bottom w:w="0" w:type="dxa"/>
          <w:right w:w="0" w:type="dxa"/>
        </w:tblCellMar>
      </w:tblPr>
      <w:tblGrid>
        <w:gridCol w:w="689"/>
        <w:gridCol w:w="1361"/>
        <w:gridCol w:w="1563"/>
        <w:gridCol w:w="636"/>
        <w:gridCol w:w="1078"/>
        <w:gridCol w:w="1232"/>
        <w:gridCol w:w="1232"/>
        <w:gridCol w:w="1349"/>
      </w:tblGrid>
      <w:tr>
        <w:tblPrEx>
          <w:shd w:val="clear" w:color="auto" w:fill="auto"/>
          <w:tblCellMar>
            <w:top w:w="0" w:type="dxa"/>
            <w:left w:w="0" w:type="dxa"/>
            <w:bottom w:w="0" w:type="dxa"/>
            <w:right w:w="0" w:type="dxa"/>
          </w:tblCellMar>
        </w:tblPrEx>
        <w:trPr>
          <w:trHeight w:val="680" w:hRule="atLeast"/>
        </w:trPr>
        <w:tc>
          <w:tcPr>
            <w:tcW w:w="914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余码（峡港）河治理项目资金收支情况汇总表</w:t>
            </w:r>
          </w:p>
        </w:tc>
      </w:tr>
      <w:tr>
        <w:tblPrEx>
          <w:shd w:val="clear" w:color="auto" w:fill="auto"/>
          <w:tblCellMar>
            <w:top w:w="0" w:type="dxa"/>
            <w:left w:w="0" w:type="dxa"/>
            <w:bottom w:w="0" w:type="dxa"/>
            <w:right w:w="0" w:type="dxa"/>
          </w:tblCellMar>
        </w:tblPrEx>
        <w:trPr>
          <w:trHeight w:val="447" w:hRule="atLeast"/>
        </w:trPr>
        <w:tc>
          <w:tcPr>
            <w:tcW w:w="689"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0"/>
                <w:szCs w:val="20"/>
                <w:u w:val="none"/>
              </w:rPr>
            </w:pPr>
          </w:p>
        </w:tc>
        <w:tc>
          <w:tcPr>
            <w:tcW w:w="1361"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0"/>
                <w:szCs w:val="20"/>
                <w:u w:val="none"/>
              </w:rPr>
            </w:pPr>
          </w:p>
        </w:tc>
        <w:tc>
          <w:tcPr>
            <w:tcW w:w="1563"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0"/>
                <w:szCs w:val="20"/>
                <w:u w:val="none"/>
              </w:rPr>
            </w:pPr>
          </w:p>
        </w:tc>
        <w:tc>
          <w:tcPr>
            <w:tcW w:w="636"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0"/>
                <w:szCs w:val="20"/>
                <w:u w:val="none"/>
              </w:rPr>
            </w:pPr>
          </w:p>
        </w:tc>
        <w:tc>
          <w:tcPr>
            <w:tcW w:w="1078"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0"/>
                <w:szCs w:val="20"/>
                <w:u w:val="none"/>
              </w:rPr>
            </w:pPr>
          </w:p>
        </w:tc>
        <w:tc>
          <w:tcPr>
            <w:tcW w:w="1232"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0"/>
                <w:szCs w:val="20"/>
                <w:u w:val="none"/>
              </w:rPr>
            </w:pPr>
          </w:p>
        </w:tc>
        <w:tc>
          <w:tcPr>
            <w:tcW w:w="1232"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0"/>
                <w:szCs w:val="20"/>
                <w:u w:val="none"/>
              </w:rPr>
            </w:pPr>
          </w:p>
        </w:tc>
        <w:tc>
          <w:tcPr>
            <w:tcW w:w="1349"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tblPrEx>
          <w:shd w:val="clear" w:color="auto" w:fill="auto"/>
          <w:tblCellMar>
            <w:top w:w="0" w:type="dxa"/>
            <w:left w:w="0" w:type="dxa"/>
            <w:bottom w:w="0" w:type="dxa"/>
            <w:right w:w="0" w:type="dxa"/>
          </w:tblCellMar>
        </w:tblPrEx>
        <w:trPr>
          <w:trHeight w:val="65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资金性质</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资金文号</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支出项目名称</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项目支出金额</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结余金额</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shd w:val="clear" w:color="auto" w:fill="auto"/>
          <w:tblCellMar>
            <w:top w:w="0" w:type="dxa"/>
            <w:left w:w="0" w:type="dxa"/>
            <w:bottom w:w="0" w:type="dxa"/>
            <w:right w:w="0" w:type="dxa"/>
          </w:tblCellMar>
        </w:tblPrEx>
        <w:trPr>
          <w:trHeight w:val="65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中央专项资金</w:t>
            </w:r>
          </w:p>
        </w:tc>
        <w:tc>
          <w:tcPr>
            <w:tcW w:w="1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鄂财农发[2017]88号</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工程款</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1024.88</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478.12</w:t>
            </w:r>
          </w:p>
        </w:tc>
        <w:tc>
          <w:tcPr>
            <w:tcW w:w="13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结余资金留存于嘉鱼县财政局零余额账户</w:t>
            </w:r>
          </w:p>
        </w:tc>
      </w:tr>
      <w:tr>
        <w:tblPrEx>
          <w:shd w:val="clear" w:color="auto" w:fill="auto"/>
          <w:tblCellMar>
            <w:top w:w="0" w:type="dxa"/>
            <w:left w:w="0" w:type="dxa"/>
            <w:bottom w:w="0" w:type="dxa"/>
            <w:right w:w="0" w:type="dxa"/>
          </w:tblCellMar>
        </w:tblPrEx>
        <w:trPr>
          <w:trHeight w:val="65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鄂财农发[2018]81号</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501</w:t>
            </w:r>
          </w:p>
        </w:tc>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50" w:hRule="atLeast"/>
        </w:trPr>
        <w:tc>
          <w:tcPr>
            <w:tcW w:w="36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小  计</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1024.88</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979.12</w:t>
            </w:r>
          </w:p>
        </w:tc>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5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3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县级财政配套资金</w:t>
            </w:r>
          </w:p>
        </w:tc>
        <w:tc>
          <w:tcPr>
            <w:tcW w:w="1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嘉河流[2018]3号</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勘察设计费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3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结余资金留存于嘉鱼县河道堤防管理局零余额账户</w:t>
            </w:r>
          </w:p>
        </w:tc>
      </w:tr>
      <w:tr>
        <w:tblPrEx>
          <w:shd w:val="clear" w:color="auto" w:fill="auto"/>
          <w:tblCellMar>
            <w:top w:w="0" w:type="dxa"/>
            <w:left w:w="0" w:type="dxa"/>
            <w:bottom w:w="0" w:type="dxa"/>
            <w:right w:w="0" w:type="dxa"/>
          </w:tblCellMar>
        </w:tblPrEx>
        <w:trPr>
          <w:trHeight w:val="691"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3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嘉河流[2018]13号</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122.3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监理、设计、平检、抽检等费用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96.6</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25.7</w:t>
            </w:r>
          </w:p>
        </w:tc>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5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3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嘉河流[2019]2号</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青苗补偿款</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5.19</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31.81</w:t>
            </w:r>
          </w:p>
        </w:tc>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50" w:hRule="atLeast"/>
        </w:trPr>
        <w:tc>
          <w:tcPr>
            <w:tcW w:w="361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小  计</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189.3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131.79</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57.51</w:t>
            </w:r>
          </w:p>
        </w:tc>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60" w:hRule="atLeast"/>
        </w:trPr>
        <w:tc>
          <w:tcPr>
            <w:tcW w:w="361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  计</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2193.3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1156.67</w:t>
            </w: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1036.63</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bl>
    <w:p>
      <w:pPr>
        <w:rPr>
          <w:rFonts w:hint="eastAsia"/>
          <w:b/>
          <w:bCs/>
          <w:sz w:val="28"/>
          <w:szCs w:val="28"/>
          <w:lang w:val="en-US" w:eastAsia="zh-CN"/>
        </w:rPr>
      </w:pPr>
      <w:r>
        <w:rPr>
          <w:rFonts w:hint="eastAsia"/>
          <w:b/>
          <w:bCs/>
          <w:sz w:val="28"/>
          <w:szCs w:val="28"/>
          <w:lang w:val="en-US" w:eastAsia="zh-CN"/>
        </w:rPr>
        <w:br w:type="page"/>
      </w:r>
    </w:p>
    <w:tbl>
      <w:tblPr>
        <w:tblStyle w:val="11"/>
        <w:tblpPr w:leftFromText="180" w:rightFromText="180" w:vertAnchor="text" w:horzAnchor="page" w:tblpX="1490" w:tblpY="587"/>
        <w:tblOverlap w:val="never"/>
        <w:tblW w:w="10100" w:type="dxa"/>
        <w:tblInd w:w="0" w:type="dxa"/>
        <w:shd w:val="clear" w:color="auto" w:fill="auto"/>
        <w:tblLayout w:type="fixed"/>
        <w:tblCellMar>
          <w:top w:w="0" w:type="dxa"/>
          <w:left w:w="0" w:type="dxa"/>
          <w:bottom w:w="0" w:type="dxa"/>
          <w:right w:w="0" w:type="dxa"/>
        </w:tblCellMar>
      </w:tblPr>
      <w:tblGrid>
        <w:gridCol w:w="336"/>
        <w:gridCol w:w="804"/>
        <w:gridCol w:w="492"/>
        <w:gridCol w:w="1580"/>
        <w:gridCol w:w="1579"/>
        <w:gridCol w:w="2043"/>
        <w:gridCol w:w="1967"/>
        <w:gridCol w:w="1299"/>
      </w:tblGrid>
      <w:tr>
        <w:tblPrEx>
          <w:shd w:val="clear" w:color="auto" w:fill="auto"/>
          <w:tblCellMar>
            <w:top w:w="0" w:type="dxa"/>
            <w:left w:w="0" w:type="dxa"/>
            <w:bottom w:w="0" w:type="dxa"/>
            <w:right w:w="0" w:type="dxa"/>
          </w:tblCellMar>
        </w:tblPrEx>
        <w:trPr>
          <w:trHeight w:val="469" w:hRule="atLeast"/>
        </w:trPr>
        <w:tc>
          <w:tcPr>
            <w:tcW w:w="1010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28"/>
                <w:szCs w:val="28"/>
                <w:u w:val="none"/>
                <w:lang w:val="en-US" w:eastAsia="zh-CN" w:bidi="ar"/>
              </w:rPr>
              <w:t>余码（峡港）河治理项目资金支出明细表</w:t>
            </w:r>
          </w:p>
        </w:tc>
      </w:tr>
      <w:tr>
        <w:tblPrEx>
          <w:shd w:val="clear" w:color="auto" w:fill="auto"/>
          <w:tblCellMar>
            <w:top w:w="0" w:type="dxa"/>
            <w:left w:w="0" w:type="dxa"/>
            <w:bottom w:w="0" w:type="dxa"/>
            <w:right w:w="0" w:type="dxa"/>
          </w:tblCellMar>
        </w:tblPrEx>
        <w:trPr>
          <w:trHeight w:val="315" w:hRule="atLeast"/>
        </w:trPr>
        <w:tc>
          <w:tcPr>
            <w:tcW w:w="336"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c>
          <w:tcPr>
            <w:tcW w:w="804"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c>
          <w:tcPr>
            <w:tcW w:w="492"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c>
          <w:tcPr>
            <w:tcW w:w="1580"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c>
          <w:tcPr>
            <w:tcW w:w="3622" w:type="dxa"/>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截止日期：2019年8月30日</w:t>
            </w:r>
          </w:p>
        </w:tc>
        <w:tc>
          <w:tcPr>
            <w:tcW w:w="1967" w:type="dxa"/>
            <w:tcBorders>
              <w:top w:val="nil"/>
              <w:left w:val="nil"/>
              <w:bottom w:val="nil"/>
              <w:right w:val="nil"/>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c>
          <w:tcPr>
            <w:tcW w:w="1299"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602"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日期</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凭证号</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摘要</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2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收款单位（供应商）</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付款人及账号</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 xml:space="preserve"> 金额 </w:t>
            </w:r>
          </w:p>
        </w:tc>
      </w:tr>
      <w:tr>
        <w:tblPrEx>
          <w:shd w:val="clear" w:color="auto" w:fill="auto"/>
          <w:tblCellMar>
            <w:top w:w="0" w:type="dxa"/>
            <w:left w:w="0" w:type="dxa"/>
            <w:bottom w:w="0" w:type="dxa"/>
            <w:right w:w="0" w:type="dxa"/>
          </w:tblCellMar>
        </w:tblPrEx>
        <w:trPr>
          <w:trHeight w:val="552"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勘察设计费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荆门市水利勘察设计院</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300,000.00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2018.9.</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第一阶段工程款支付</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湖北水总水利水电建设股份有限公司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嘉鱼县财政局财政零余额账户42001696208050001180</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1,483,004.00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2018.9.</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勘察设计费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荆门市水利勘察设计院</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300,000.00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2018.9.</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工程监理费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南昌蓝水工程监理有限责任公司咸宁分公司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100,000.00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2018.9.</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建设及施工场地补偿款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嘉鱼县渡普镇人民政府</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150,000.00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2018.12.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建设及施工场地补偿款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湖北省国营头墩农场</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50,000.00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第二阶段工程款支付</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湖北水总水利水电建设股份有限公司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嘉鱼县财政局财政零余额账户42001696208050001180</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5,000,000.00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工程抽检费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湖北正平水利水电工程质量检测有限公司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40,000.00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工程平检费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武汉楚衡建设工程检测有限公司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15,000.00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工程审计费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湖北省宏博策工程造价咨询有限公司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45,000.00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工程监理费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南昌蓝水工程监理有限责任公司咸宁分公司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60,000.00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工程影像制作费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嘉鱼县智绘广告有限责任公司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6,000.00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付第二阶段应付工程款</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湖北水总水利水电建设股份有限公司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474,320.00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第三阶段工程款支付</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湖北水总水利水电建设股份有限公司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嘉鱼县财政局财政零余额账户42001696208050001180</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1,386,880.00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建设及施工场地补偿款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嘉鱼县渡普镇人民政府</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51,881.60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2019.8.</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待摊费用</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勘察设计费</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荆门市水利勘察设计院</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嘉鱼县河道堤防管理局42001690045058006677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200,000.00 </w:t>
            </w:r>
          </w:p>
        </w:tc>
      </w:tr>
      <w:tr>
        <w:tblPrEx>
          <w:shd w:val="clear" w:color="auto" w:fill="auto"/>
          <w:tblCellMar>
            <w:top w:w="0" w:type="dxa"/>
            <w:left w:w="0" w:type="dxa"/>
            <w:bottom w:w="0" w:type="dxa"/>
            <w:right w:w="0" w:type="dxa"/>
          </w:tblCellMar>
        </w:tblPrEx>
        <w:trPr>
          <w:trHeight w:val="669"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2019.8.</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第四阶段工程款支付</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建筑工程款</w:t>
            </w:r>
          </w:p>
        </w:tc>
        <w:tc>
          <w:tcPr>
            <w:tcW w:w="2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湖北水总水利水电建设股份有限公司</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嘉鱼县财政局财政零余额账户42001696208050001180</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1,904,610.00 </w:t>
            </w:r>
          </w:p>
        </w:tc>
      </w:tr>
      <w:tr>
        <w:tblPrEx>
          <w:shd w:val="clear" w:color="auto" w:fill="auto"/>
          <w:tblCellMar>
            <w:top w:w="0" w:type="dxa"/>
            <w:left w:w="0" w:type="dxa"/>
            <w:bottom w:w="0" w:type="dxa"/>
            <w:right w:w="0" w:type="dxa"/>
          </w:tblCellMar>
        </w:tblPrEx>
        <w:trPr>
          <w:trHeight w:val="512" w:hRule="atLeast"/>
        </w:trPr>
        <w:tc>
          <w:tcPr>
            <w:tcW w:w="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  计</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 xml:space="preserve"> 11,566,695.60 </w:t>
            </w:r>
          </w:p>
        </w:tc>
      </w:tr>
      <w:tr>
        <w:tblPrEx>
          <w:tblCellMar>
            <w:top w:w="0" w:type="dxa"/>
            <w:left w:w="0" w:type="dxa"/>
            <w:bottom w:w="0" w:type="dxa"/>
            <w:right w:w="0" w:type="dxa"/>
          </w:tblCellMar>
        </w:tblPrEx>
        <w:trPr>
          <w:trHeight w:val="423" w:hRule="atLeast"/>
        </w:trPr>
        <w:tc>
          <w:tcPr>
            <w:tcW w:w="10100"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21"/>
                <w:szCs w:val="21"/>
                <w:u w:val="none"/>
                <w:lang w:val="en-US" w:eastAsia="zh-CN" w:bidi="ar"/>
              </w:rPr>
              <w:t>备注：中央专项资金仅用于项目主体工程的建设支出，其余待摊费用由县级财政配套资金支付。</w:t>
            </w:r>
          </w:p>
        </w:tc>
      </w:tr>
    </w:tbl>
    <w:tbl>
      <w:tblPr>
        <w:tblStyle w:val="11"/>
        <w:tblW w:w="9580" w:type="dxa"/>
        <w:tblInd w:w="0" w:type="dxa"/>
        <w:shd w:val="clear" w:color="auto" w:fill="auto"/>
        <w:tblLayout w:type="fixed"/>
        <w:tblCellMar>
          <w:top w:w="0" w:type="dxa"/>
          <w:left w:w="0" w:type="dxa"/>
          <w:bottom w:w="0" w:type="dxa"/>
          <w:right w:w="0" w:type="dxa"/>
        </w:tblCellMar>
      </w:tblPr>
      <w:tblGrid>
        <w:gridCol w:w="439"/>
        <w:gridCol w:w="1201"/>
        <w:gridCol w:w="2375"/>
        <w:gridCol w:w="1575"/>
        <w:gridCol w:w="1589"/>
        <w:gridCol w:w="1446"/>
        <w:gridCol w:w="955"/>
      </w:tblGrid>
      <w:tr>
        <w:tblPrEx>
          <w:shd w:val="clear" w:color="auto" w:fill="auto"/>
          <w:tblCellMar>
            <w:top w:w="0" w:type="dxa"/>
            <w:left w:w="0" w:type="dxa"/>
            <w:bottom w:w="0" w:type="dxa"/>
            <w:right w:w="0" w:type="dxa"/>
          </w:tblCellMar>
        </w:tblPrEx>
        <w:trPr>
          <w:trHeight w:val="635" w:hRule="atLeast"/>
        </w:trPr>
        <w:tc>
          <w:tcPr>
            <w:tcW w:w="9580" w:type="dxa"/>
            <w:gridSpan w:val="7"/>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项目资金使用情况分析表</w:t>
            </w:r>
          </w:p>
        </w:tc>
      </w:tr>
      <w:tr>
        <w:tblPrEx>
          <w:shd w:val="clear" w:color="auto" w:fill="auto"/>
          <w:tblCellMar>
            <w:top w:w="0" w:type="dxa"/>
            <w:left w:w="0" w:type="dxa"/>
            <w:bottom w:w="0" w:type="dxa"/>
            <w:right w:w="0" w:type="dxa"/>
          </w:tblCellMar>
        </w:tblPrEx>
        <w:trPr>
          <w:trHeight w:val="448" w:hRule="atLeast"/>
        </w:trPr>
        <w:tc>
          <w:tcPr>
            <w:tcW w:w="9580" w:type="dxa"/>
            <w:gridSpan w:val="7"/>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截止日期：2019年8月30日                                                单位：元</w:t>
            </w:r>
          </w:p>
        </w:tc>
      </w:tr>
      <w:tr>
        <w:tblPrEx>
          <w:shd w:val="clear" w:color="auto" w:fill="auto"/>
          <w:tblCellMar>
            <w:top w:w="0" w:type="dxa"/>
            <w:left w:w="0" w:type="dxa"/>
            <w:bottom w:w="0" w:type="dxa"/>
            <w:right w:w="0" w:type="dxa"/>
          </w:tblCellMar>
        </w:tblPrEx>
        <w:trPr>
          <w:trHeight w:val="577" w:hRule="atLeast"/>
        </w:trPr>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类别</w:t>
            </w:r>
          </w:p>
        </w:tc>
        <w:tc>
          <w:tcPr>
            <w:tcW w:w="2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收款单位（供应商名称)</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合同价 </w:t>
            </w:r>
          </w:p>
        </w:tc>
        <w:tc>
          <w:tcPr>
            <w:tcW w:w="15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已支付金额 </w:t>
            </w:r>
          </w:p>
        </w:tc>
        <w:tc>
          <w:tcPr>
            <w:tcW w:w="1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未支付金额 </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支付比例</w:t>
            </w:r>
          </w:p>
        </w:tc>
      </w:tr>
      <w:tr>
        <w:tblPrEx>
          <w:shd w:val="clear" w:color="auto" w:fill="auto"/>
          <w:tblCellMar>
            <w:top w:w="0" w:type="dxa"/>
            <w:left w:w="0" w:type="dxa"/>
            <w:bottom w:w="0" w:type="dxa"/>
            <w:right w:w="0" w:type="dxa"/>
          </w:tblCellMar>
        </w:tblPrEx>
        <w:trPr>
          <w:trHeight w:val="645" w:hRule="atLeast"/>
        </w:trPr>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建筑工程款</w:t>
            </w:r>
          </w:p>
        </w:tc>
        <w:tc>
          <w:tcPr>
            <w:tcW w:w="2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湖北水总水利水电建设股份有限公司</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18,575,769.00 </w:t>
            </w:r>
          </w:p>
        </w:tc>
        <w:tc>
          <w:tcPr>
            <w:tcW w:w="15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10,248,814.00 </w:t>
            </w:r>
          </w:p>
        </w:tc>
        <w:tc>
          <w:tcPr>
            <w:tcW w:w="1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8,326,955.00 </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55.17%</w:t>
            </w:r>
          </w:p>
        </w:tc>
      </w:tr>
      <w:tr>
        <w:tblPrEx>
          <w:shd w:val="clear" w:color="auto" w:fill="auto"/>
          <w:tblCellMar>
            <w:top w:w="0" w:type="dxa"/>
            <w:left w:w="0" w:type="dxa"/>
            <w:bottom w:w="0" w:type="dxa"/>
            <w:right w:w="0" w:type="dxa"/>
          </w:tblCellMar>
        </w:tblPrEx>
        <w:trPr>
          <w:trHeight w:val="577" w:hRule="atLeast"/>
        </w:trPr>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勘察设计费</w:t>
            </w:r>
          </w:p>
        </w:tc>
        <w:tc>
          <w:tcPr>
            <w:tcW w:w="2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荆门市水利勘测设计院</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855,000.00 </w:t>
            </w:r>
          </w:p>
        </w:tc>
        <w:tc>
          <w:tcPr>
            <w:tcW w:w="15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800,000.00 </w:t>
            </w:r>
          </w:p>
        </w:tc>
        <w:tc>
          <w:tcPr>
            <w:tcW w:w="1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55,000.00 </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93.57%</w:t>
            </w:r>
          </w:p>
        </w:tc>
      </w:tr>
      <w:tr>
        <w:tblPrEx>
          <w:shd w:val="clear" w:color="auto" w:fill="auto"/>
          <w:tblCellMar>
            <w:top w:w="0" w:type="dxa"/>
            <w:left w:w="0" w:type="dxa"/>
            <w:bottom w:w="0" w:type="dxa"/>
            <w:right w:w="0" w:type="dxa"/>
          </w:tblCellMar>
        </w:tblPrEx>
        <w:trPr>
          <w:trHeight w:val="645" w:hRule="atLeast"/>
        </w:trPr>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工程监理费</w:t>
            </w:r>
          </w:p>
        </w:tc>
        <w:tc>
          <w:tcPr>
            <w:tcW w:w="2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南昌蓝水工程监理有限责任公司咸宁分公司</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260,000.00 </w:t>
            </w:r>
          </w:p>
        </w:tc>
        <w:tc>
          <w:tcPr>
            <w:tcW w:w="15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160,000.00 </w:t>
            </w:r>
          </w:p>
        </w:tc>
        <w:tc>
          <w:tcPr>
            <w:tcW w:w="1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100,000.00 </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61.54%</w:t>
            </w:r>
          </w:p>
        </w:tc>
      </w:tr>
      <w:tr>
        <w:tblPrEx>
          <w:shd w:val="clear" w:color="auto" w:fill="auto"/>
          <w:tblCellMar>
            <w:top w:w="0" w:type="dxa"/>
            <w:left w:w="0" w:type="dxa"/>
            <w:bottom w:w="0" w:type="dxa"/>
            <w:right w:w="0" w:type="dxa"/>
          </w:tblCellMar>
        </w:tblPrEx>
        <w:trPr>
          <w:trHeight w:val="645" w:hRule="atLeast"/>
        </w:trPr>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工程抽检费</w:t>
            </w:r>
          </w:p>
        </w:tc>
        <w:tc>
          <w:tcPr>
            <w:tcW w:w="2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湖北正平水利水电工程质量检测有限公司</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70,500.00 </w:t>
            </w:r>
          </w:p>
        </w:tc>
        <w:tc>
          <w:tcPr>
            <w:tcW w:w="15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40,000.00 </w:t>
            </w:r>
          </w:p>
        </w:tc>
        <w:tc>
          <w:tcPr>
            <w:tcW w:w="1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30,500.00 </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56.74%</w:t>
            </w:r>
          </w:p>
        </w:tc>
      </w:tr>
      <w:tr>
        <w:tblPrEx>
          <w:shd w:val="clear" w:color="auto" w:fill="auto"/>
          <w:tblCellMar>
            <w:top w:w="0" w:type="dxa"/>
            <w:left w:w="0" w:type="dxa"/>
            <w:bottom w:w="0" w:type="dxa"/>
            <w:right w:w="0" w:type="dxa"/>
          </w:tblCellMar>
        </w:tblPrEx>
        <w:trPr>
          <w:trHeight w:val="645" w:hRule="atLeast"/>
        </w:trPr>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工程平检费</w:t>
            </w:r>
          </w:p>
        </w:tc>
        <w:tc>
          <w:tcPr>
            <w:tcW w:w="2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武汉楚衡建设工程检测有限公司</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36,000.00 </w:t>
            </w:r>
          </w:p>
        </w:tc>
        <w:tc>
          <w:tcPr>
            <w:tcW w:w="15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15,000.00 </w:t>
            </w:r>
          </w:p>
        </w:tc>
        <w:tc>
          <w:tcPr>
            <w:tcW w:w="1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21,000.00 </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41.67%</w:t>
            </w:r>
          </w:p>
        </w:tc>
      </w:tr>
      <w:tr>
        <w:tblPrEx>
          <w:shd w:val="clear" w:color="auto" w:fill="auto"/>
          <w:tblCellMar>
            <w:top w:w="0" w:type="dxa"/>
            <w:left w:w="0" w:type="dxa"/>
            <w:bottom w:w="0" w:type="dxa"/>
            <w:right w:w="0" w:type="dxa"/>
          </w:tblCellMar>
        </w:tblPrEx>
        <w:trPr>
          <w:trHeight w:val="645" w:hRule="atLeast"/>
        </w:trPr>
        <w:tc>
          <w:tcPr>
            <w:tcW w:w="43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201"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工程审计费</w:t>
            </w:r>
          </w:p>
        </w:tc>
        <w:tc>
          <w:tcPr>
            <w:tcW w:w="2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湖北省宏博策工程造价咨询有限公司</w:t>
            </w:r>
          </w:p>
        </w:tc>
        <w:tc>
          <w:tcPr>
            <w:tcW w:w="15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8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45,000.00 </w:t>
            </w:r>
          </w:p>
        </w:tc>
        <w:tc>
          <w:tcPr>
            <w:tcW w:w="1446"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95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45" w:hRule="atLeast"/>
        </w:trPr>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工程影像制作费</w:t>
            </w:r>
          </w:p>
        </w:tc>
        <w:tc>
          <w:tcPr>
            <w:tcW w:w="2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嘉鱼县智绘广告有限责任公司</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12,000.00 </w:t>
            </w:r>
          </w:p>
        </w:tc>
        <w:tc>
          <w:tcPr>
            <w:tcW w:w="15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6,000.00 </w:t>
            </w:r>
          </w:p>
        </w:tc>
        <w:tc>
          <w:tcPr>
            <w:tcW w:w="1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6,000.00 </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50.00%</w:t>
            </w:r>
          </w:p>
        </w:tc>
      </w:tr>
      <w:tr>
        <w:tblPrEx>
          <w:shd w:val="clear" w:color="auto" w:fill="auto"/>
          <w:tblCellMar>
            <w:top w:w="0" w:type="dxa"/>
            <w:left w:w="0" w:type="dxa"/>
            <w:bottom w:w="0" w:type="dxa"/>
            <w:right w:w="0" w:type="dxa"/>
          </w:tblCellMar>
        </w:tblPrEx>
        <w:trPr>
          <w:trHeight w:val="577" w:hRule="atLeast"/>
        </w:trPr>
        <w:tc>
          <w:tcPr>
            <w:tcW w:w="4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2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青苗补偿款</w:t>
            </w:r>
          </w:p>
        </w:tc>
        <w:tc>
          <w:tcPr>
            <w:tcW w:w="2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嘉鱼县渡普镇人民政府</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201,881.60 </w:t>
            </w:r>
          </w:p>
        </w:tc>
        <w:tc>
          <w:tcPr>
            <w:tcW w:w="15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201,881.60 </w:t>
            </w:r>
          </w:p>
        </w:tc>
        <w:tc>
          <w:tcPr>
            <w:tcW w:w="1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   </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r>
      <w:tr>
        <w:tblPrEx>
          <w:tblCellMar>
            <w:top w:w="0" w:type="dxa"/>
            <w:left w:w="0" w:type="dxa"/>
            <w:bottom w:w="0" w:type="dxa"/>
            <w:right w:w="0" w:type="dxa"/>
          </w:tblCellMar>
        </w:tblPrEx>
        <w:trPr>
          <w:trHeight w:val="577" w:hRule="atLeast"/>
        </w:trPr>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湖北省国营头墩农场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50,000.00 </w:t>
            </w:r>
          </w:p>
        </w:tc>
        <w:tc>
          <w:tcPr>
            <w:tcW w:w="15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50,000.00 </w:t>
            </w:r>
          </w:p>
        </w:tc>
        <w:tc>
          <w:tcPr>
            <w:tcW w:w="1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   </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r>
      <w:tr>
        <w:tblPrEx>
          <w:tblCellMar>
            <w:top w:w="0" w:type="dxa"/>
            <w:left w:w="0" w:type="dxa"/>
            <w:bottom w:w="0" w:type="dxa"/>
            <w:right w:w="0" w:type="dxa"/>
          </w:tblCellMar>
        </w:tblPrEx>
        <w:trPr>
          <w:trHeight w:val="587" w:hRule="atLeast"/>
        </w:trPr>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3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  计</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 20,061,150.60 </w:t>
            </w:r>
          </w:p>
        </w:tc>
        <w:tc>
          <w:tcPr>
            <w:tcW w:w="15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 11,566,695.60 </w:t>
            </w:r>
          </w:p>
        </w:tc>
        <w:tc>
          <w:tcPr>
            <w:tcW w:w="1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57.66%</w:t>
            </w:r>
          </w:p>
        </w:tc>
      </w:tr>
      <w:tr>
        <w:tblPrEx>
          <w:tblCellMar>
            <w:top w:w="0" w:type="dxa"/>
            <w:left w:w="0" w:type="dxa"/>
            <w:bottom w:w="0" w:type="dxa"/>
            <w:right w:w="0" w:type="dxa"/>
          </w:tblCellMar>
        </w:tblPrEx>
        <w:trPr>
          <w:trHeight w:val="587" w:hRule="atLeast"/>
        </w:trPr>
        <w:tc>
          <w:tcPr>
            <w:tcW w:w="958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说明：工程审计费合同约定：服务酬金按工程实际发生额0.005%取费，由于工程未完工，故该目暂无法确认合同总价及未支付金额，分析表中未对该项进行分析。</w:t>
            </w:r>
          </w:p>
        </w:tc>
      </w:tr>
    </w:tbl>
    <w:p>
      <w:pPr>
        <w:numPr>
          <w:ilvl w:val="0"/>
          <w:numId w:val="0"/>
        </w:numPr>
        <w:tabs>
          <w:tab w:val="left" w:pos="585"/>
        </w:tabs>
        <w:autoSpaceDE w:val="0"/>
        <w:autoSpaceDN w:val="0"/>
        <w:adjustRightInd w:val="0"/>
        <w:spacing w:line="360" w:lineRule="auto"/>
        <w:rPr>
          <w:rFonts w:ascii="仿宋_GB2312" w:eastAsia="仿宋_GB2312"/>
          <w:sz w:val="28"/>
        </w:rPr>
      </w:pPr>
      <w:r>
        <w:rPr>
          <w:rFonts w:hint="eastAsia"/>
          <w:b/>
          <w:bCs/>
          <w:sz w:val="28"/>
          <w:szCs w:val="28"/>
          <w:lang w:val="en-US" w:eastAsia="zh-CN"/>
        </w:rPr>
        <w:br w:type="page"/>
      </w:r>
      <w:r>
        <w:rPr>
          <w:rFonts w:hint="eastAsia"/>
          <w:b w:val="0"/>
          <w:bCs w:val="0"/>
          <w:sz w:val="28"/>
          <w:szCs w:val="28"/>
          <w:lang w:val="en-US" w:eastAsia="zh-CN"/>
        </w:rPr>
        <w:t>附件三：</w:t>
      </w:r>
      <w:r>
        <w:rPr>
          <w:rFonts w:ascii="仿宋_GB2312" w:eastAsia="仿宋_GB2312"/>
          <w:sz w:val="28"/>
        </w:rPr>
        <w:t>社会调查问卷汇总表</w:t>
      </w:r>
    </w:p>
    <w:tbl>
      <w:tblPr>
        <w:tblStyle w:val="11"/>
        <w:tblW w:w="9630" w:type="dxa"/>
        <w:tblInd w:w="0" w:type="dxa"/>
        <w:shd w:val="clear" w:color="auto" w:fill="auto"/>
        <w:tblLayout w:type="fixed"/>
        <w:tblCellMar>
          <w:top w:w="0" w:type="dxa"/>
          <w:left w:w="0" w:type="dxa"/>
          <w:bottom w:w="0" w:type="dxa"/>
          <w:right w:w="0" w:type="dxa"/>
        </w:tblCellMar>
      </w:tblPr>
      <w:tblGrid>
        <w:gridCol w:w="1480"/>
        <w:gridCol w:w="705"/>
        <w:gridCol w:w="317"/>
        <w:gridCol w:w="1635"/>
        <w:gridCol w:w="705"/>
        <w:gridCol w:w="328"/>
        <w:gridCol w:w="1410"/>
        <w:gridCol w:w="705"/>
        <w:gridCol w:w="305"/>
        <w:gridCol w:w="1335"/>
        <w:gridCol w:w="705"/>
      </w:tblGrid>
      <w:tr>
        <w:tblPrEx>
          <w:shd w:val="clear" w:color="auto" w:fill="auto"/>
          <w:tblCellMar>
            <w:top w:w="0" w:type="dxa"/>
            <w:left w:w="0" w:type="dxa"/>
            <w:bottom w:w="0" w:type="dxa"/>
            <w:right w:w="0" w:type="dxa"/>
          </w:tblCellMar>
        </w:tblPrEx>
        <w:trPr>
          <w:trHeight w:val="465" w:hRule="atLeast"/>
        </w:trPr>
        <w:tc>
          <w:tcPr>
            <w:tcW w:w="9630" w:type="dxa"/>
            <w:gridSpan w:val="11"/>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嘉鱼县余码峡港河综合治理工程</w:t>
            </w:r>
          </w:p>
        </w:tc>
      </w:tr>
      <w:tr>
        <w:tblPrEx>
          <w:shd w:val="clear" w:color="auto" w:fill="auto"/>
          <w:tblCellMar>
            <w:top w:w="0" w:type="dxa"/>
            <w:left w:w="0" w:type="dxa"/>
            <w:bottom w:w="0" w:type="dxa"/>
            <w:right w:w="0" w:type="dxa"/>
          </w:tblCellMar>
        </w:tblPrEx>
        <w:trPr>
          <w:trHeight w:val="456" w:hRule="atLeast"/>
        </w:trPr>
        <w:tc>
          <w:tcPr>
            <w:tcW w:w="9630" w:type="dxa"/>
            <w:gridSpan w:val="11"/>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满意度调查问卷汇总表</w:t>
            </w:r>
          </w:p>
        </w:tc>
      </w:tr>
      <w:tr>
        <w:tblPrEx>
          <w:shd w:val="clear" w:color="auto" w:fill="auto"/>
          <w:tblCellMar>
            <w:top w:w="0" w:type="dxa"/>
            <w:left w:w="0" w:type="dxa"/>
            <w:bottom w:w="0" w:type="dxa"/>
            <w:right w:w="0" w:type="dxa"/>
          </w:tblCellMar>
        </w:tblPrEx>
        <w:trPr>
          <w:trHeight w:val="339" w:hRule="atLeast"/>
        </w:trPr>
        <w:tc>
          <w:tcPr>
            <w:tcW w:w="1480"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受访人数：23人</w:t>
            </w:r>
          </w:p>
        </w:tc>
        <w:tc>
          <w:tcPr>
            <w:tcW w:w="705"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32"/>
                <w:szCs w:val="32"/>
                <w:u w:val="none"/>
              </w:rPr>
            </w:pPr>
          </w:p>
        </w:tc>
        <w:tc>
          <w:tcPr>
            <w:tcW w:w="317"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32"/>
                <w:szCs w:val="32"/>
                <w:u w:val="none"/>
              </w:rPr>
            </w:pPr>
          </w:p>
        </w:tc>
        <w:tc>
          <w:tcPr>
            <w:tcW w:w="1635"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32"/>
                <w:szCs w:val="32"/>
                <w:u w:val="none"/>
              </w:rPr>
            </w:pPr>
          </w:p>
        </w:tc>
        <w:tc>
          <w:tcPr>
            <w:tcW w:w="705"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32"/>
                <w:szCs w:val="32"/>
                <w:u w:val="none"/>
              </w:rPr>
            </w:pPr>
          </w:p>
        </w:tc>
        <w:tc>
          <w:tcPr>
            <w:tcW w:w="328"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32"/>
                <w:szCs w:val="32"/>
                <w:u w:val="none"/>
              </w:rPr>
            </w:pPr>
          </w:p>
        </w:tc>
        <w:tc>
          <w:tcPr>
            <w:tcW w:w="1410"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32"/>
                <w:szCs w:val="32"/>
                <w:u w:val="none"/>
              </w:rPr>
            </w:pPr>
          </w:p>
        </w:tc>
        <w:tc>
          <w:tcPr>
            <w:tcW w:w="705"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32"/>
                <w:szCs w:val="32"/>
                <w:u w:val="none"/>
              </w:rPr>
            </w:pPr>
          </w:p>
        </w:tc>
        <w:tc>
          <w:tcPr>
            <w:tcW w:w="305"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32"/>
                <w:szCs w:val="32"/>
                <w:u w:val="none"/>
              </w:rPr>
            </w:pPr>
          </w:p>
        </w:tc>
        <w:tc>
          <w:tcPr>
            <w:tcW w:w="1335"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32"/>
                <w:szCs w:val="32"/>
                <w:u w:val="none"/>
              </w:rPr>
            </w:pPr>
          </w:p>
        </w:tc>
        <w:tc>
          <w:tcPr>
            <w:tcW w:w="705"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b/>
                <w:i w:val="0"/>
                <w:color w:val="000000"/>
                <w:sz w:val="32"/>
                <w:szCs w:val="32"/>
                <w:u w:val="none"/>
              </w:rPr>
            </w:pPr>
          </w:p>
        </w:tc>
      </w:tr>
      <w:tr>
        <w:tblPrEx>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、您了解有关中小河流治理的一些事项和政策吗</w:t>
            </w:r>
            <w:r>
              <w:rPr>
                <w:rStyle w:val="24"/>
                <w:rFonts w:eastAsia="宋体"/>
                <w:lang w:val="en-US" w:eastAsia="zh-CN" w:bidi="ar"/>
              </w:rPr>
              <w:t>?</w:t>
            </w:r>
          </w:p>
        </w:tc>
      </w:tr>
      <w:tr>
        <w:tblPrEx>
          <w:tblCellMar>
            <w:top w:w="0" w:type="dxa"/>
            <w:left w:w="0" w:type="dxa"/>
            <w:bottom w:w="0" w:type="dxa"/>
            <w:right w:w="0" w:type="dxa"/>
          </w:tblCellMar>
        </w:tblPrEx>
        <w:trPr>
          <w:trHeight w:val="510" w:hRule="atLeast"/>
        </w:trPr>
        <w:tc>
          <w:tcPr>
            <w:tcW w:w="14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A</w:t>
            </w:r>
            <w:r>
              <w:rPr>
                <w:rFonts w:hint="eastAsia" w:ascii="宋体" w:hAnsi="宋体" w:eastAsia="宋体" w:cs="宋体"/>
                <w:i w:val="0"/>
                <w:color w:val="000000"/>
                <w:kern w:val="0"/>
                <w:sz w:val="20"/>
                <w:szCs w:val="20"/>
                <w:u w:val="none"/>
                <w:lang w:val="en-US" w:eastAsia="zh-CN" w:bidi="ar"/>
              </w:rPr>
              <w:t>、了解</w:t>
            </w:r>
            <w:r>
              <w:rPr>
                <w:rStyle w:val="24"/>
                <w:rFonts w:eastAsia="宋体"/>
                <w:lang w:val="en-US" w:eastAsia="zh-CN" w:bidi="ar"/>
              </w:rPr>
              <w:t xml:space="preserve"> </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60.87%</w:t>
            </w:r>
          </w:p>
        </w:tc>
        <w:tc>
          <w:tcPr>
            <w:tcW w:w="317"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6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、有点了解</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34.78%</w:t>
            </w:r>
          </w:p>
        </w:tc>
        <w:tc>
          <w:tcPr>
            <w:tcW w:w="32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1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C</w:t>
            </w:r>
            <w:r>
              <w:rPr>
                <w:rFonts w:hint="eastAsia" w:ascii="宋体" w:hAnsi="宋体" w:eastAsia="宋体" w:cs="宋体"/>
                <w:i w:val="0"/>
                <w:color w:val="000000"/>
                <w:kern w:val="0"/>
                <w:sz w:val="20"/>
                <w:szCs w:val="20"/>
                <w:u w:val="none"/>
                <w:lang w:val="en-US" w:eastAsia="zh-CN" w:bidi="ar"/>
              </w:rPr>
              <w:t>、不知道</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4.35%</w:t>
            </w:r>
          </w:p>
        </w:tc>
        <w:tc>
          <w:tcPr>
            <w:tcW w:w="3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7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2、您是通过哪种方式了解中小河流专项资金治理工程建设的?</w:t>
            </w:r>
          </w:p>
        </w:tc>
      </w:tr>
      <w:tr>
        <w:tblPrEx>
          <w:tblCellMar>
            <w:top w:w="0" w:type="dxa"/>
            <w:left w:w="0" w:type="dxa"/>
            <w:bottom w:w="0" w:type="dxa"/>
            <w:right w:w="0" w:type="dxa"/>
          </w:tblCellMar>
        </w:tblPrEx>
        <w:trPr>
          <w:trHeight w:val="840" w:hRule="atLeast"/>
        </w:trPr>
        <w:tc>
          <w:tcPr>
            <w:tcW w:w="14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A、电视宣传</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26.09%</w:t>
            </w:r>
          </w:p>
        </w:tc>
        <w:tc>
          <w:tcPr>
            <w:tcW w:w="317"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6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B、广播宣传</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4.35%</w:t>
            </w:r>
          </w:p>
        </w:tc>
        <w:tc>
          <w:tcPr>
            <w:tcW w:w="32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1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C、手机短信</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3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D</w:t>
            </w:r>
            <w:r>
              <w:rPr>
                <w:rFonts w:hint="eastAsia" w:ascii="宋体" w:hAnsi="宋体" w:eastAsia="宋体" w:cs="宋体"/>
                <w:i w:val="0"/>
                <w:color w:val="000000"/>
                <w:kern w:val="0"/>
                <w:sz w:val="20"/>
                <w:szCs w:val="20"/>
                <w:u w:val="none"/>
                <w:lang w:val="en-US" w:eastAsia="zh-CN" w:bidi="ar"/>
              </w:rPr>
              <w:t>、社区宣传栏或社区工作人员宣传</w:t>
            </w:r>
          </w:p>
        </w:tc>
        <w:tc>
          <w:tcPr>
            <w:tcW w:w="7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69.56%</w:t>
            </w:r>
          </w:p>
        </w:tc>
      </w:tr>
      <w:tr>
        <w:tblPrEx>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、项目所在河段在治理前经常发洪水吗</w:t>
            </w:r>
            <w:r>
              <w:rPr>
                <w:rStyle w:val="24"/>
                <w:rFonts w:eastAsia="宋体"/>
                <w:lang w:val="en-US" w:eastAsia="zh-CN" w:bidi="ar"/>
              </w:rPr>
              <w:t>?</w:t>
            </w:r>
          </w:p>
        </w:tc>
      </w:tr>
      <w:tr>
        <w:tblPrEx>
          <w:tblCellMar>
            <w:top w:w="0" w:type="dxa"/>
            <w:left w:w="0" w:type="dxa"/>
            <w:bottom w:w="0" w:type="dxa"/>
            <w:right w:w="0" w:type="dxa"/>
          </w:tblCellMar>
        </w:tblPrEx>
        <w:trPr>
          <w:trHeight w:val="825" w:hRule="atLeast"/>
        </w:trPr>
        <w:tc>
          <w:tcPr>
            <w:tcW w:w="14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A、经常发洪水，1-2年一次</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43.48%</w:t>
            </w:r>
          </w:p>
        </w:tc>
        <w:tc>
          <w:tcPr>
            <w:tcW w:w="317" w:type="dxa"/>
            <w:tcBorders>
              <w:top w:val="single" w:color="000000" w:sz="4" w:space="0"/>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6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B、大概3年一次</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39.13%</w:t>
            </w:r>
          </w:p>
        </w:tc>
        <w:tc>
          <w:tcPr>
            <w:tcW w:w="32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1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C、3年或多于3年一次</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17.39%</w:t>
            </w:r>
          </w:p>
        </w:tc>
        <w:tc>
          <w:tcPr>
            <w:tcW w:w="3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7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4、您认为项目实施后，该河段防洪能力提高了吗?</w:t>
            </w:r>
          </w:p>
        </w:tc>
      </w:tr>
      <w:tr>
        <w:tblPrEx>
          <w:shd w:val="clear" w:color="auto" w:fill="auto"/>
          <w:tblCellMar>
            <w:top w:w="0" w:type="dxa"/>
            <w:left w:w="0" w:type="dxa"/>
            <w:bottom w:w="0" w:type="dxa"/>
            <w:right w:w="0" w:type="dxa"/>
          </w:tblCellMar>
        </w:tblPrEx>
        <w:trPr>
          <w:trHeight w:val="510" w:hRule="atLeast"/>
        </w:trPr>
        <w:tc>
          <w:tcPr>
            <w:tcW w:w="14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A、显著提高</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73.91%</w:t>
            </w:r>
          </w:p>
        </w:tc>
        <w:tc>
          <w:tcPr>
            <w:tcW w:w="317"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6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B、提高不明显</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26.09%</w:t>
            </w:r>
          </w:p>
        </w:tc>
        <w:tc>
          <w:tcPr>
            <w:tcW w:w="32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1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C、未提高</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3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7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5、您对河流整治的施工质量满意吗?</w:t>
            </w:r>
          </w:p>
        </w:tc>
      </w:tr>
      <w:tr>
        <w:tblPrEx>
          <w:shd w:val="clear" w:color="auto" w:fill="auto"/>
          <w:tblCellMar>
            <w:top w:w="0" w:type="dxa"/>
            <w:left w:w="0" w:type="dxa"/>
            <w:bottom w:w="0" w:type="dxa"/>
            <w:right w:w="0" w:type="dxa"/>
          </w:tblCellMar>
        </w:tblPrEx>
        <w:trPr>
          <w:trHeight w:val="510" w:hRule="atLeast"/>
        </w:trPr>
        <w:tc>
          <w:tcPr>
            <w:tcW w:w="14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A、很遘意</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60.87%</w:t>
            </w:r>
          </w:p>
        </w:tc>
        <w:tc>
          <w:tcPr>
            <w:tcW w:w="317"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6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B、满意 </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26.09%</w:t>
            </w:r>
          </w:p>
        </w:tc>
        <w:tc>
          <w:tcPr>
            <w:tcW w:w="32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1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C、一般</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13.04%</w:t>
            </w:r>
          </w:p>
        </w:tc>
        <w:tc>
          <w:tcPr>
            <w:tcW w:w="3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D、不满意</w:t>
            </w:r>
          </w:p>
        </w:tc>
        <w:tc>
          <w:tcPr>
            <w:tcW w:w="7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6、您认为项目实施后，该河段生态环境变好了吗</w:t>
            </w:r>
            <w:r>
              <w:rPr>
                <w:rStyle w:val="24"/>
                <w:rFonts w:eastAsia="宋体"/>
                <w:lang w:val="en-US" w:eastAsia="zh-CN" w:bidi="ar"/>
              </w:rPr>
              <w:t>?</w:t>
            </w:r>
          </w:p>
        </w:tc>
      </w:tr>
      <w:tr>
        <w:tblPrEx>
          <w:shd w:val="clear" w:color="auto" w:fill="auto"/>
          <w:tblCellMar>
            <w:top w:w="0" w:type="dxa"/>
            <w:left w:w="0" w:type="dxa"/>
            <w:bottom w:w="0" w:type="dxa"/>
            <w:right w:w="0" w:type="dxa"/>
          </w:tblCellMar>
        </w:tblPrEx>
        <w:trPr>
          <w:trHeight w:val="510" w:hRule="atLeast"/>
        </w:trPr>
        <w:tc>
          <w:tcPr>
            <w:tcW w:w="14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A、显著变好</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56.52%</w:t>
            </w:r>
          </w:p>
        </w:tc>
        <w:tc>
          <w:tcPr>
            <w:tcW w:w="317"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6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B、有一定的改善</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39.13%</w:t>
            </w:r>
          </w:p>
        </w:tc>
        <w:tc>
          <w:tcPr>
            <w:tcW w:w="32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1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C、改善不明显</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3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D</w:t>
            </w:r>
            <w:r>
              <w:rPr>
                <w:rFonts w:hint="eastAsia" w:ascii="宋体" w:hAnsi="宋体" w:eastAsia="宋体" w:cs="宋体"/>
                <w:i w:val="0"/>
                <w:color w:val="000000"/>
                <w:kern w:val="0"/>
                <w:sz w:val="20"/>
                <w:szCs w:val="20"/>
                <w:u w:val="none"/>
                <w:lang w:val="en-US" w:eastAsia="zh-CN" w:bidi="ar"/>
              </w:rPr>
              <w:t>、无改善</w:t>
            </w:r>
          </w:p>
        </w:tc>
        <w:tc>
          <w:tcPr>
            <w:tcW w:w="7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4.35%</w:t>
            </w:r>
          </w:p>
        </w:tc>
      </w:tr>
      <w:tr>
        <w:tblPrEx>
          <w:shd w:val="clear" w:color="auto" w:fill="auto"/>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7、您对河流日常管理感到满意吗</w:t>
            </w:r>
            <w:r>
              <w:rPr>
                <w:rStyle w:val="24"/>
                <w:rFonts w:eastAsia="宋体"/>
                <w:lang w:val="en-US" w:eastAsia="zh-CN" w:bidi="ar"/>
              </w:rPr>
              <w:t>?</w:t>
            </w:r>
          </w:p>
        </w:tc>
      </w:tr>
      <w:tr>
        <w:tblPrEx>
          <w:shd w:val="clear" w:color="auto" w:fill="auto"/>
          <w:tblCellMar>
            <w:top w:w="0" w:type="dxa"/>
            <w:left w:w="0" w:type="dxa"/>
            <w:bottom w:w="0" w:type="dxa"/>
            <w:right w:w="0" w:type="dxa"/>
          </w:tblCellMar>
        </w:tblPrEx>
        <w:trPr>
          <w:trHeight w:val="510" w:hRule="atLeast"/>
        </w:trPr>
        <w:tc>
          <w:tcPr>
            <w:tcW w:w="14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A</w:t>
            </w:r>
            <w:r>
              <w:rPr>
                <w:rFonts w:hint="eastAsia" w:ascii="宋体" w:hAnsi="宋体" w:eastAsia="宋体" w:cs="宋体"/>
                <w:i w:val="0"/>
                <w:color w:val="000000"/>
                <w:kern w:val="0"/>
                <w:sz w:val="20"/>
                <w:szCs w:val="20"/>
                <w:u w:val="none"/>
                <w:lang w:val="en-US" w:eastAsia="zh-CN" w:bidi="ar"/>
              </w:rPr>
              <w:t>、很满意</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52.17%</w:t>
            </w:r>
          </w:p>
        </w:tc>
        <w:tc>
          <w:tcPr>
            <w:tcW w:w="317"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6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、满意</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21.74%</w:t>
            </w:r>
          </w:p>
        </w:tc>
        <w:tc>
          <w:tcPr>
            <w:tcW w:w="32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1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C</w:t>
            </w:r>
            <w:r>
              <w:rPr>
                <w:rFonts w:hint="eastAsia" w:ascii="宋体" w:hAnsi="宋体" w:eastAsia="宋体" w:cs="宋体"/>
                <w:i w:val="0"/>
                <w:color w:val="000000"/>
                <w:kern w:val="0"/>
                <w:sz w:val="20"/>
                <w:szCs w:val="20"/>
                <w:u w:val="none"/>
                <w:lang w:val="en-US" w:eastAsia="zh-CN" w:bidi="ar"/>
              </w:rPr>
              <w:t>、一般</w:t>
            </w:r>
            <w:r>
              <w:rPr>
                <w:rStyle w:val="24"/>
                <w:rFonts w:eastAsia="宋体"/>
                <w:lang w:val="en-US" w:eastAsia="zh-CN" w:bidi="ar"/>
              </w:rPr>
              <w:t xml:space="preserve"> </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21.74%</w:t>
            </w:r>
          </w:p>
        </w:tc>
        <w:tc>
          <w:tcPr>
            <w:tcW w:w="3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D</w:t>
            </w:r>
            <w:r>
              <w:rPr>
                <w:rFonts w:hint="eastAsia" w:ascii="宋体" w:hAnsi="宋体" w:eastAsia="宋体" w:cs="宋体"/>
                <w:i w:val="0"/>
                <w:color w:val="000000"/>
                <w:kern w:val="0"/>
                <w:sz w:val="20"/>
                <w:szCs w:val="20"/>
                <w:u w:val="none"/>
                <w:lang w:val="en-US" w:eastAsia="zh-CN" w:bidi="ar"/>
              </w:rPr>
              <w:t>、不满意</w:t>
            </w:r>
          </w:p>
        </w:tc>
        <w:tc>
          <w:tcPr>
            <w:tcW w:w="7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4.35%</w:t>
            </w:r>
          </w:p>
        </w:tc>
      </w:tr>
      <w:tr>
        <w:tblPrEx>
          <w:shd w:val="clear" w:color="auto" w:fill="auto"/>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8、您觉得该项目治理完后，对您的生活环境质量影响是:</w:t>
            </w:r>
          </w:p>
        </w:tc>
      </w:tr>
      <w:tr>
        <w:tblPrEx>
          <w:shd w:val="clear" w:color="auto" w:fill="auto"/>
          <w:tblCellMar>
            <w:top w:w="0" w:type="dxa"/>
            <w:left w:w="0" w:type="dxa"/>
            <w:bottom w:w="0" w:type="dxa"/>
            <w:right w:w="0" w:type="dxa"/>
          </w:tblCellMar>
        </w:tblPrEx>
        <w:trPr>
          <w:trHeight w:val="510" w:hRule="atLeast"/>
        </w:trPr>
        <w:tc>
          <w:tcPr>
            <w:tcW w:w="14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A</w:t>
            </w:r>
            <w:r>
              <w:rPr>
                <w:rFonts w:hint="eastAsia" w:ascii="宋体" w:hAnsi="宋体" w:eastAsia="宋体" w:cs="宋体"/>
                <w:i w:val="0"/>
                <w:color w:val="000000"/>
                <w:kern w:val="0"/>
                <w:sz w:val="20"/>
                <w:szCs w:val="20"/>
                <w:u w:val="none"/>
                <w:lang w:val="en-US" w:eastAsia="zh-CN" w:bidi="ar"/>
              </w:rPr>
              <w:t>、有好影响</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91.30%</w:t>
            </w:r>
          </w:p>
        </w:tc>
        <w:tc>
          <w:tcPr>
            <w:tcW w:w="317"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6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、没什么影响</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8.70%</w:t>
            </w:r>
          </w:p>
        </w:tc>
        <w:tc>
          <w:tcPr>
            <w:tcW w:w="32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1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C</w:t>
            </w:r>
            <w:r>
              <w:rPr>
                <w:rFonts w:hint="eastAsia" w:ascii="宋体" w:hAnsi="宋体" w:eastAsia="宋体" w:cs="宋体"/>
                <w:i w:val="0"/>
                <w:color w:val="000000"/>
                <w:kern w:val="0"/>
                <w:sz w:val="20"/>
                <w:szCs w:val="20"/>
                <w:u w:val="none"/>
                <w:lang w:val="en-US" w:eastAsia="zh-CN" w:bidi="ar"/>
              </w:rPr>
              <w:t>、有坏的影响</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3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7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9、您对该项目的资金及使用情况了解吗</w:t>
            </w:r>
            <w:r>
              <w:rPr>
                <w:rStyle w:val="24"/>
                <w:rFonts w:eastAsia="宋体"/>
                <w:lang w:val="en-US" w:eastAsia="zh-CN" w:bidi="ar"/>
              </w:rPr>
              <w:t>?</w:t>
            </w:r>
          </w:p>
        </w:tc>
      </w:tr>
      <w:tr>
        <w:tblPrEx>
          <w:shd w:val="clear" w:color="auto" w:fill="auto"/>
          <w:tblCellMar>
            <w:top w:w="0" w:type="dxa"/>
            <w:left w:w="0" w:type="dxa"/>
            <w:bottom w:w="0" w:type="dxa"/>
            <w:right w:w="0" w:type="dxa"/>
          </w:tblCellMar>
        </w:tblPrEx>
        <w:trPr>
          <w:trHeight w:val="510" w:hRule="atLeast"/>
        </w:trPr>
        <w:tc>
          <w:tcPr>
            <w:tcW w:w="14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A</w:t>
            </w:r>
            <w:r>
              <w:rPr>
                <w:rFonts w:hint="eastAsia" w:ascii="宋体" w:hAnsi="宋体" w:eastAsia="宋体" w:cs="宋体"/>
                <w:i w:val="0"/>
                <w:color w:val="000000"/>
                <w:kern w:val="0"/>
                <w:sz w:val="20"/>
                <w:szCs w:val="20"/>
                <w:u w:val="none"/>
                <w:lang w:val="en-US" w:eastAsia="zh-CN" w:bidi="ar"/>
              </w:rPr>
              <w:t>、了解</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39.13%</w:t>
            </w:r>
          </w:p>
        </w:tc>
        <w:tc>
          <w:tcPr>
            <w:tcW w:w="317"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6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、有点了解</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43.48%</w:t>
            </w:r>
          </w:p>
        </w:tc>
        <w:tc>
          <w:tcPr>
            <w:tcW w:w="32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1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C</w:t>
            </w:r>
            <w:r>
              <w:rPr>
                <w:rFonts w:hint="eastAsia" w:ascii="宋体" w:hAnsi="宋体" w:eastAsia="宋体" w:cs="宋体"/>
                <w:i w:val="0"/>
                <w:color w:val="000000"/>
                <w:kern w:val="0"/>
                <w:sz w:val="20"/>
                <w:szCs w:val="20"/>
                <w:u w:val="none"/>
                <w:lang w:val="en-US" w:eastAsia="zh-CN" w:bidi="ar"/>
              </w:rPr>
              <w:t>、不了解</w:t>
            </w:r>
          </w:p>
        </w:tc>
        <w:tc>
          <w:tcPr>
            <w:tcW w:w="705" w:type="dxa"/>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17.39%</w:t>
            </w:r>
          </w:p>
        </w:tc>
        <w:tc>
          <w:tcPr>
            <w:tcW w:w="3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705"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Fonts w:hint="eastAsia" w:ascii="宋体" w:hAnsi="宋体" w:eastAsia="宋体" w:cs="宋体"/>
                <w:i w:val="0"/>
                <w:color w:val="000000"/>
                <w:kern w:val="0"/>
                <w:sz w:val="20"/>
                <w:szCs w:val="20"/>
                <w:u w:val="none"/>
                <w:lang w:val="en-US" w:eastAsia="zh-CN" w:bidi="ar"/>
              </w:rPr>
              <w:t>、受访人反映的其他问题：河道内草多；原有路面受损，出行不便；补偿款不到位。</w:t>
            </w:r>
          </w:p>
        </w:tc>
      </w:tr>
      <w:tr>
        <w:tblPrEx>
          <w:shd w:val="clear" w:color="auto" w:fill="auto"/>
          <w:tblCellMar>
            <w:top w:w="0" w:type="dxa"/>
            <w:left w:w="0" w:type="dxa"/>
            <w:bottom w:w="0" w:type="dxa"/>
            <w:right w:w="0" w:type="dxa"/>
          </w:tblCellMar>
        </w:tblPrEx>
        <w:trPr>
          <w:trHeight w:val="510" w:hRule="atLeast"/>
        </w:trPr>
        <w:tc>
          <w:tcPr>
            <w:tcW w:w="9630" w:type="dxa"/>
            <w:gridSpan w:val="11"/>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采访人核实情况：</w:t>
            </w:r>
            <w:r>
              <w:rPr>
                <w:rFonts w:hint="eastAsia" w:ascii="仿宋_GB2312" w:eastAsia="仿宋_GB2312"/>
                <w:kern w:val="0"/>
                <w:sz w:val="28"/>
                <w:lang w:val="en-US" w:eastAsia="zh-CN"/>
              </w:rPr>
              <w:t>在对周边村民进行调查走访时了解到，有个别村民的建设及施工场地补偿款尚未补偿到位，经核实得知，丁字沟周边的渔民与项目组之间就渔塘周边附着物的拆除补偿标准未协商一致，导致个别村民的补偿款至今未补偿到位。</w:t>
            </w:r>
          </w:p>
        </w:tc>
      </w:tr>
    </w:tbl>
    <w:p>
      <w:pPr>
        <w:rPr>
          <w:rFonts w:hint="eastAsia"/>
          <w:b/>
          <w:bCs/>
          <w:sz w:val="28"/>
          <w:szCs w:val="28"/>
          <w:lang w:val="en-US" w:eastAsia="zh-CN"/>
        </w:rPr>
      </w:pPr>
      <w:r>
        <w:rPr>
          <w:rFonts w:hint="eastAsia"/>
          <w:b/>
          <w:bCs/>
          <w:sz w:val="28"/>
          <w:szCs w:val="28"/>
          <w:lang w:val="en-US" w:eastAsia="zh-CN"/>
        </w:rPr>
        <w:br w:type="page"/>
      </w:r>
    </w:p>
    <w:p>
      <w:pPr>
        <w:tabs>
          <w:tab w:val="left" w:pos="585"/>
        </w:tabs>
        <w:autoSpaceDE w:val="0"/>
        <w:autoSpaceDN w:val="0"/>
        <w:adjustRightInd w:val="0"/>
        <w:spacing w:line="360" w:lineRule="auto"/>
        <w:rPr>
          <w:rFonts w:ascii="仿宋_GB2312" w:eastAsia="仿宋_GB2312"/>
          <w:sz w:val="28"/>
          <w:lang w:val="zh-CN"/>
        </w:rPr>
      </w:pPr>
      <w:r>
        <w:rPr>
          <w:rFonts w:hint="eastAsia"/>
          <w:b w:val="0"/>
          <w:bCs w:val="0"/>
          <w:sz w:val="28"/>
          <w:szCs w:val="28"/>
          <w:lang w:val="en-US" w:eastAsia="zh-CN"/>
        </w:rPr>
        <w:t>附件四：</w:t>
      </w:r>
      <w:r>
        <w:rPr>
          <w:rFonts w:ascii="仿宋_GB2312" w:eastAsia="仿宋_GB2312"/>
          <w:sz w:val="28"/>
          <w:lang w:val="zh-CN"/>
        </w:rPr>
        <w:t>项目实地拍摄图片</w:t>
      </w:r>
    </w:p>
    <w:p>
      <w:pPr>
        <w:numPr>
          <w:ilvl w:val="0"/>
          <w:numId w:val="0"/>
        </w:numPr>
        <w:jc w:val="both"/>
      </w:pPr>
      <w:r>
        <w:drawing>
          <wp:inline distT="0" distB="0" distL="114300" distR="114300">
            <wp:extent cx="5058410" cy="2028825"/>
            <wp:effectExtent l="0" t="0" r="889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058410" cy="2028825"/>
                    </a:xfrm>
                    <a:prstGeom prst="rect">
                      <a:avLst/>
                    </a:prstGeom>
                    <a:noFill/>
                    <a:ln>
                      <a:noFill/>
                    </a:ln>
                  </pic:spPr>
                </pic:pic>
              </a:graphicData>
            </a:graphic>
          </wp:inline>
        </w:drawing>
      </w:r>
      <w:r>
        <w:drawing>
          <wp:inline distT="0" distB="0" distL="114300" distR="114300">
            <wp:extent cx="5064125" cy="2106930"/>
            <wp:effectExtent l="0" t="0" r="317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064125" cy="2106930"/>
                    </a:xfrm>
                    <a:prstGeom prst="rect">
                      <a:avLst/>
                    </a:prstGeom>
                    <a:noFill/>
                    <a:ln>
                      <a:noFill/>
                    </a:ln>
                  </pic:spPr>
                </pic:pic>
              </a:graphicData>
            </a:graphic>
          </wp:inline>
        </w:drawing>
      </w:r>
      <w:r>
        <w:drawing>
          <wp:inline distT="0" distB="0" distL="114300" distR="114300">
            <wp:extent cx="5062220" cy="2450465"/>
            <wp:effectExtent l="0" t="0" r="508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062220" cy="2450465"/>
                    </a:xfrm>
                    <a:prstGeom prst="rect">
                      <a:avLst/>
                    </a:prstGeom>
                    <a:noFill/>
                    <a:ln>
                      <a:noFill/>
                    </a:ln>
                  </pic:spPr>
                </pic:pic>
              </a:graphicData>
            </a:graphic>
          </wp:inline>
        </w:drawing>
      </w:r>
      <w:r>
        <w:drawing>
          <wp:inline distT="0" distB="0" distL="114300" distR="114300">
            <wp:extent cx="5067300" cy="1870710"/>
            <wp:effectExtent l="0" t="0" r="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067300" cy="1870710"/>
                    </a:xfrm>
                    <a:prstGeom prst="rect">
                      <a:avLst/>
                    </a:prstGeom>
                    <a:noFill/>
                    <a:ln>
                      <a:noFill/>
                    </a:ln>
                  </pic:spPr>
                </pic:pic>
              </a:graphicData>
            </a:graphic>
          </wp:inline>
        </w:drawing>
      </w:r>
      <w:r>
        <w:drawing>
          <wp:inline distT="0" distB="0" distL="114300" distR="114300">
            <wp:extent cx="5064125" cy="1899920"/>
            <wp:effectExtent l="0" t="0" r="317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064125" cy="1899920"/>
                    </a:xfrm>
                    <a:prstGeom prst="rect">
                      <a:avLst/>
                    </a:prstGeom>
                    <a:noFill/>
                    <a:ln>
                      <a:noFill/>
                    </a:ln>
                  </pic:spPr>
                </pic:pic>
              </a:graphicData>
            </a:graphic>
          </wp:inline>
        </w:drawing>
      </w:r>
      <w:r>
        <w:drawing>
          <wp:inline distT="0" distB="0" distL="114300" distR="114300">
            <wp:extent cx="5063490" cy="228219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063490" cy="2282190"/>
                    </a:xfrm>
                    <a:prstGeom prst="rect">
                      <a:avLst/>
                    </a:prstGeom>
                    <a:noFill/>
                    <a:ln>
                      <a:noFill/>
                    </a:ln>
                  </pic:spPr>
                </pic:pic>
              </a:graphicData>
            </a:graphic>
          </wp:inline>
        </w:drawing>
      </w:r>
      <w:r>
        <w:drawing>
          <wp:inline distT="0" distB="0" distL="114300" distR="114300">
            <wp:extent cx="5060950" cy="2030730"/>
            <wp:effectExtent l="0" t="0" r="635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060950" cy="2030730"/>
                    </a:xfrm>
                    <a:prstGeom prst="rect">
                      <a:avLst/>
                    </a:prstGeom>
                    <a:noFill/>
                    <a:ln>
                      <a:noFill/>
                    </a:ln>
                  </pic:spPr>
                </pic:pic>
              </a:graphicData>
            </a:graphic>
          </wp:inline>
        </w:drawing>
      </w:r>
    </w:p>
    <w:p>
      <w:pPr>
        <w:tabs>
          <w:tab w:val="left" w:pos="585"/>
        </w:tabs>
        <w:autoSpaceDE w:val="0"/>
        <w:autoSpaceDN w:val="0"/>
        <w:adjustRightInd w:val="0"/>
        <w:spacing w:line="360" w:lineRule="auto"/>
        <w:rPr>
          <w:rFonts w:ascii="仿宋_GB2312" w:eastAsia="仿宋_GB2312"/>
          <w:sz w:val="28"/>
          <w:lang w:val="zh-CN"/>
        </w:rPr>
      </w:pPr>
      <w:r>
        <w:rPr>
          <w:rFonts w:hint="eastAsia" w:ascii="仿宋_GB2312" w:eastAsia="仿宋_GB2312"/>
          <w:sz w:val="28"/>
          <w:lang w:val="en-US" w:eastAsia="zh-CN"/>
        </w:rPr>
        <w:t>附件五</w:t>
      </w:r>
      <w:r>
        <w:rPr>
          <w:rFonts w:ascii="仿宋_GB2312" w:eastAsia="仿宋_GB2312"/>
          <w:sz w:val="28"/>
          <w:lang w:val="zh-CN"/>
        </w:rPr>
        <w:t>、评价机构营业执照复印件</w:t>
      </w:r>
    </w:p>
    <w:p>
      <w:pPr>
        <w:rPr>
          <w:rFonts w:hint="eastAsia"/>
          <w:lang w:val="en-US" w:eastAsia="zh-CN"/>
        </w:rPr>
      </w:pPr>
      <w:r>
        <w:rPr>
          <w:rFonts w:hint="eastAsia" w:ascii="宋体" w:hAnsi="宋体"/>
        </w:rPr>
        <w:drawing>
          <wp:anchor distT="0" distB="0" distL="114300" distR="114300" simplePos="0" relativeHeight="251662336" behindDoc="0" locked="0" layoutInCell="1" allowOverlap="1">
            <wp:simplePos x="0" y="0"/>
            <wp:positionH relativeFrom="column">
              <wp:posOffset>-201930</wp:posOffset>
            </wp:positionH>
            <wp:positionV relativeFrom="paragraph">
              <wp:posOffset>110490</wp:posOffset>
            </wp:positionV>
            <wp:extent cx="5206365" cy="7016750"/>
            <wp:effectExtent l="0" t="0" r="13335" b="12700"/>
            <wp:wrapNone/>
            <wp:docPr id="25" name="图片 4" descr="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Page0001.jpg"/>
                    <pic:cNvPicPr>
                      <a:picLocks noChangeAspect="1"/>
                    </pic:cNvPicPr>
                  </pic:nvPicPr>
                  <pic:blipFill>
                    <a:blip r:embed="rId14"/>
                    <a:stretch>
                      <a:fillRect/>
                    </a:stretch>
                  </pic:blipFill>
                  <pic:spPr>
                    <a:xfrm>
                      <a:off x="0" y="0"/>
                      <a:ext cx="5206365" cy="7016750"/>
                    </a:xfrm>
                    <a:prstGeom prst="rect">
                      <a:avLst/>
                    </a:prstGeom>
                    <a:noFill/>
                    <a:ln>
                      <a:noFill/>
                    </a:ln>
                  </pic:spPr>
                </pic:pic>
              </a:graphicData>
            </a:graphic>
          </wp:anchor>
        </w:drawing>
      </w:r>
      <w:r>
        <w:rPr>
          <w:rFonts w:hint="eastAsia"/>
          <w:lang w:val="en-US" w:eastAsia="zh-CN"/>
        </w:rPr>
        <w:br w:type="page"/>
      </w:r>
    </w:p>
    <w:p>
      <w:pPr>
        <w:tabs>
          <w:tab w:val="left" w:pos="670"/>
        </w:tabs>
        <w:autoSpaceDE w:val="0"/>
        <w:autoSpaceDN w:val="0"/>
        <w:adjustRightInd w:val="0"/>
        <w:spacing w:line="360" w:lineRule="auto"/>
        <w:rPr>
          <w:rFonts w:ascii="仿宋_GB2312" w:eastAsia="仿宋_GB2312"/>
          <w:sz w:val="28"/>
          <w:szCs w:val="28"/>
          <w:lang w:val="zh-CN"/>
        </w:rPr>
      </w:pPr>
      <w:r>
        <w:rPr>
          <w:rFonts w:hint="eastAsia"/>
          <w:sz w:val="28"/>
          <w:szCs w:val="28"/>
          <w:lang w:val="en-US" w:eastAsia="zh-CN"/>
        </w:rPr>
        <w:t>附件六：</w:t>
      </w:r>
      <w:r>
        <w:rPr>
          <w:rFonts w:ascii="仿宋_GB2312" w:eastAsia="仿宋_GB2312"/>
          <w:sz w:val="28"/>
          <w:szCs w:val="28"/>
          <w:lang w:val="zh-CN"/>
        </w:rPr>
        <w:t>评价机构执业证书复印件</w:t>
      </w:r>
      <w:r>
        <w:rPr>
          <w:rFonts w:hint="eastAsia" w:ascii="宋体" w:hAnsi="宋体"/>
          <w:sz w:val="28"/>
          <w:szCs w:val="28"/>
        </w:rPr>
        <w:drawing>
          <wp:anchor distT="0" distB="0" distL="114300" distR="114300" simplePos="0" relativeHeight="251661312" behindDoc="0" locked="0" layoutInCell="1" allowOverlap="1">
            <wp:simplePos x="0" y="0"/>
            <wp:positionH relativeFrom="column">
              <wp:posOffset>55245</wp:posOffset>
            </wp:positionH>
            <wp:positionV relativeFrom="paragraph">
              <wp:posOffset>554990</wp:posOffset>
            </wp:positionV>
            <wp:extent cx="5273675" cy="7325995"/>
            <wp:effectExtent l="0" t="0" r="3175" b="8255"/>
            <wp:wrapNone/>
            <wp:docPr id="29"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8"/>
                    <pic:cNvPicPr>
                      <a:picLocks noChangeAspect="1"/>
                    </pic:cNvPicPr>
                  </pic:nvPicPr>
                  <pic:blipFill>
                    <a:blip r:embed="rId15"/>
                    <a:stretch>
                      <a:fillRect/>
                    </a:stretch>
                  </pic:blipFill>
                  <pic:spPr>
                    <a:xfrm>
                      <a:off x="0" y="0"/>
                      <a:ext cx="5273675" cy="7325995"/>
                    </a:xfrm>
                    <a:prstGeom prst="rect">
                      <a:avLst/>
                    </a:prstGeom>
                    <a:noFill/>
                    <a:ln>
                      <a:noFill/>
                    </a:ln>
                  </pic:spPr>
                </pic:pic>
              </a:graphicData>
            </a:graphic>
          </wp:anchor>
        </w:drawing>
      </w:r>
    </w:p>
    <w:p>
      <w:pPr>
        <w:numPr>
          <w:ilvl w:val="0"/>
          <w:numId w:val="0"/>
        </w:numPr>
        <w:jc w:val="both"/>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lang w:val="en-US" w:eastAsia="zh-CN"/>
        </w:rPr>
      </w:pPr>
      <w:r>
        <w:rPr>
          <w:rFonts w:hint="eastAsia"/>
          <w:lang w:val="en-US" w:eastAsia="zh-CN"/>
        </w:rPr>
        <w:br w:type="page"/>
      </w:r>
    </w:p>
    <w:p>
      <w:pPr>
        <w:tabs>
          <w:tab w:val="left" w:pos="670"/>
        </w:tabs>
        <w:autoSpaceDE w:val="0"/>
        <w:autoSpaceDN w:val="0"/>
        <w:adjustRightInd w:val="0"/>
        <w:spacing w:line="360" w:lineRule="auto"/>
        <w:rPr>
          <w:rFonts w:ascii="仿宋_GB2312" w:eastAsia="仿宋_GB2312"/>
          <w:b/>
          <w:sz w:val="28"/>
          <w:szCs w:val="28"/>
          <w:lang w:val="zh-CN"/>
        </w:rPr>
      </w:pPr>
      <w:r>
        <w:rPr>
          <w:rFonts w:hint="eastAsia"/>
          <w:sz w:val="28"/>
          <w:szCs w:val="28"/>
          <w:lang w:val="en-US" w:eastAsia="zh-CN"/>
        </w:rPr>
        <w:t>附件七：</w:t>
      </w:r>
      <w:r>
        <w:rPr>
          <w:rFonts w:ascii="仿宋_GB2312" w:eastAsia="仿宋_GB2312"/>
          <w:sz w:val="28"/>
          <w:szCs w:val="28"/>
        </w:rPr>
        <w:t>评审专家聘书复印件</w:t>
      </w:r>
    </w:p>
    <w:p>
      <w:pPr>
        <w:bidi w:val="0"/>
        <w:ind w:firstLine="212" w:firstLineChars="0"/>
        <w:jc w:val="left"/>
        <w:rPr>
          <w:rFonts w:hint="eastAsia"/>
          <w:lang w:val="en-US" w:eastAsia="zh-CN"/>
        </w:rPr>
      </w:pPr>
      <w:r>
        <w:drawing>
          <wp:inline distT="0" distB="0" distL="114300" distR="114300">
            <wp:extent cx="5064125" cy="346710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064125" cy="3467100"/>
                    </a:xfrm>
                    <a:prstGeom prst="rect">
                      <a:avLst/>
                    </a:prstGeom>
                    <a:noFill/>
                    <a:ln>
                      <a:noFill/>
                    </a:ln>
                  </pic:spPr>
                </pic:pic>
              </a:graphicData>
            </a:graphic>
          </wp:inline>
        </w:drawing>
      </w:r>
      <w:r>
        <w:drawing>
          <wp:inline distT="0" distB="0" distL="114300" distR="114300">
            <wp:extent cx="5061585" cy="3646805"/>
            <wp:effectExtent l="0" t="0" r="5715"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061585" cy="3646805"/>
                    </a:xfrm>
                    <a:prstGeom prst="rect">
                      <a:avLst/>
                    </a:prstGeom>
                    <a:noFill/>
                    <a:ln>
                      <a:noFill/>
                    </a:ln>
                  </pic:spPr>
                </pic:pic>
              </a:graphicData>
            </a:graphic>
          </wp:inline>
        </w:drawing>
      </w:r>
    </w:p>
    <w:sectPr>
      <w:footerReference r:id="rId5" w:type="default"/>
      <w:pgSz w:w="11906" w:h="16838"/>
      <w:pgMar w:top="1440" w:right="2126" w:bottom="1538"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Gulim">
    <w:altName w:val="Malgun Gothic"/>
    <w:panose1 w:val="020B0600000101010101"/>
    <w:charset w:val="81"/>
    <w:family w:val="swiss"/>
    <w:pitch w:val="default"/>
    <w:sig w:usb0="00000000" w:usb1="00000000" w:usb2="00000030" w:usb3="00000000" w:csb0="4008009F" w:csb1="DFD7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u w:val="single"/>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val="en-US" w:eastAsia="zh-CN"/>
      </w:rPr>
      <w:t xml:space="preserve"> </w:t>
    </w:r>
    <w:r>
      <w:rPr>
        <w:rFonts w:hint="eastAsia"/>
        <w:u w:val="single"/>
        <w:lang w:val="en-US" w:eastAsia="zh-CN"/>
      </w:rPr>
      <w:t xml:space="preserve">                                                                                       </w:t>
    </w:r>
  </w:p>
  <w:p>
    <w:pPr>
      <w:pStyle w:val="6"/>
      <w:rPr>
        <w:rFonts w:hint="default" w:eastAsiaTheme="minorEastAsia"/>
        <w:lang w:val="en-US" w:eastAsia="zh-CN"/>
      </w:rPr>
    </w:pPr>
    <w:r>
      <w:rPr>
        <w:rFonts w:hint="eastAsia"/>
        <w:lang w:val="en-US" w:eastAsia="zh-CN"/>
      </w:rPr>
      <w:t xml:space="preserve">                                                          湖北同业会计师事务有限公司编制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u w:val="none"/>
        <w:lang w:val="en-US" w:eastAsia="zh-CN"/>
      </w:rPr>
    </w:pPr>
    <w:r>
      <w:rPr>
        <w:rFonts w:hint="eastAsia"/>
        <w:u w:val="single"/>
        <w:lang w:val="en-US" w:eastAsia="zh-CN"/>
      </w:rPr>
      <w:t xml:space="preserve">                                                                                        </w:t>
    </w:r>
    <w:r>
      <w:rPr>
        <w:rFonts w:hint="eastAsia"/>
        <w:u w:val="none"/>
        <w:lang w:val="en-US" w:eastAsia="zh-CN"/>
      </w:rPr>
      <w:t xml:space="preserve"> </w:t>
    </w:r>
  </w:p>
  <w:p>
    <w:pPr>
      <w:pStyle w:val="6"/>
      <w:rPr>
        <w:rFonts w:hint="eastAsia"/>
        <w:u w:val="none"/>
        <w:lang w:val="en-US" w:eastAsia="zh-CN"/>
      </w:rPr>
    </w:pPr>
    <w:r>
      <w:rPr>
        <w:sz w:val="18"/>
        <w:u w:val="none"/>
      </w:rPr>
      <mc:AlternateContent>
        <mc:Choice Requires="wps">
          <w:drawing>
            <wp:anchor distT="0" distB="0" distL="114300" distR="114300" simplePos="0" relativeHeight="251660288" behindDoc="0" locked="0" layoutInCell="1" allowOverlap="1">
              <wp:simplePos x="0" y="0"/>
              <wp:positionH relativeFrom="margin">
                <wp:posOffset>2511425</wp:posOffset>
              </wp:positionH>
              <wp:positionV relativeFrom="paragraph">
                <wp:posOffset>19685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7.75pt;margin-top:1.55pt;height:144pt;width:144pt;mso-position-horizontal-relative:margin;mso-wrap-style:none;z-index:251660288;mso-width-relative:page;mso-height-relative:page;" filled="f" stroked="f" coordsize="21600,21600" o:gfxdata="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wYaB1gAAAAkBAAAPAAAAAAAAAAEAIAAAACIAAABkcnMvZG93bnJldi54bWxQ&#10;SwECFAAUAAAACACHTuJApPvadjICAABjBAAADgAAAAAAAAABACAAAAAlAQAAZHJzL2Uyb0RvYy54&#10;bWxQSwUGAAAAAAYABgBZAQAAy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u w:val="none"/>
        <w:lang w:val="en-US" w:eastAsia="zh-CN"/>
      </w:rPr>
      <w:t xml:space="preserve">                                                       </w:t>
    </w:r>
    <w:r>
      <w:rPr>
        <w:rFonts w:hint="eastAsia"/>
        <w:lang w:val="en-US" w:eastAsia="zh-CN"/>
      </w:rPr>
      <w:t>湖北同业会计师事务有限公司编制</w:t>
    </w:r>
    <w:r>
      <w:rPr>
        <w:rFonts w:hint="eastAsia"/>
        <w:u w:val="none"/>
        <w:lang w:val="en-US" w:eastAsia="zh-CN"/>
      </w:rPr>
      <w:t xml:space="preserve">   </w:t>
    </w:r>
  </w:p>
  <w:p>
    <w:pPr>
      <w:pStyle w:val="6"/>
      <w:rPr>
        <w:rFonts w:hint="default" w:eastAsiaTheme="minorEastAsia"/>
        <w:lang w:val="en-US" w:eastAsia="zh-CN"/>
      </w:rPr>
    </w:pP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outlineLvl w:val="3"/>
      <w:rPr>
        <w:rFonts w:hint="eastAsia" w:ascii="宋体" w:hAnsi="宋体"/>
        <w:b/>
        <w:sz w:val="21"/>
        <w:szCs w:val="21"/>
        <w:lang w:eastAsia="zh-CN"/>
      </w:rPr>
    </w:pPr>
  </w:p>
  <w:p>
    <w:pPr>
      <w:widowControl/>
      <w:jc w:val="left"/>
      <w:outlineLvl w:val="3"/>
      <w:rPr>
        <w:rFonts w:hint="default" w:ascii="宋体" w:eastAsiaTheme="minorEastAsia"/>
        <w:b/>
        <w:sz w:val="21"/>
        <w:szCs w:val="21"/>
        <w:lang w:val="en-US" w:eastAsia="zh-CN"/>
      </w:rPr>
    </w:pPr>
    <w:r>
      <w:rPr>
        <w:rFonts w:hint="eastAsia" w:ascii="宋体" w:hAnsi="宋体"/>
        <w:b/>
        <w:sz w:val="21"/>
        <w:szCs w:val="21"/>
        <w:u w:val="single"/>
        <w:lang w:eastAsia="zh-CN"/>
      </w:rPr>
      <w:t>嘉鱼</w:t>
    </w:r>
    <w:r>
      <w:rPr>
        <w:rFonts w:ascii="宋体" w:hAnsi="宋体"/>
        <w:b/>
        <w:sz w:val="21"/>
        <w:szCs w:val="21"/>
        <w:u w:val="single"/>
      </w:rPr>
      <w:t>县</w:t>
    </w:r>
    <w:r>
      <w:rPr>
        <w:rFonts w:hint="eastAsia" w:ascii="宋体" w:hAnsi="宋体"/>
        <w:b/>
        <w:sz w:val="21"/>
        <w:szCs w:val="21"/>
        <w:u w:val="single"/>
        <w:lang w:eastAsia="zh-CN"/>
      </w:rPr>
      <w:t>水利局</w:t>
    </w:r>
    <w:r>
      <w:rPr>
        <w:rFonts w:hint="eastAsia" w:ascii="宋体" w:hAnsi="宋体"/>
        <w:b/>
        <w:sz w:val="21"/>
        <w:szCs w:val="21"/>
        <w:u w:val="single"/>
        <w:lang w:val="en-US" w:eastAsia="zh-CN"/>
      </w:rPr>
      <w:t>2018年度余码峡港河治理项目</w:t>
    </w:r>
    <w:r>
      <w:rPr>
        <w:rFonts w:ascii="宋体" w:hAnsi="宋体"/>
        <w:b/>
        <w:sz w:val="21"/>
        <w:szCs w:val="21"/>
        <w:u w:val="single"/>
      </w:rPr>
      <w:t>绩效评价报告</w:t>
    </w:r>
    <w:r>
      <w:rPr>
        <w:rFonts w:hint="eastAsia" w:ascii="宋体" w:hAnsi="宋体"/>
        <w:b/>
        <w:sz w:val="21"/>
        <w:szCs w:val="21"/>
        <w:u w:val="single"/>
        <w:lang w:val="en-US" w:eastAsia="zh-CN"/>
      </w:rPr>
      <w:t xml:space="preserve">                        </w:t>
    </w:r>
    <w:r>
      <w:rPr>
        <w:rFonts w:hint="eastAsia" w:ascii="宋体" w:hAnsi="宋体"/>
        <w:b/>
        <w:sz w:val="21"/>
        <w:szCs w:val="21"/>
        <w:lang w:val="en-US" w:eastAsia="zh-CN"/>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D9AD2"/>
    <w:multiLevelType w:val="singleLevel"/>
    <w:tmpl w:val="85FD9AD2"/>
    <w:lvl w:ilvl="0" w:tentative="0">
      <w:start w:val="1"/>
      <w:numFmt w:val="decimal"/>
      <w:suff w:val="nothing"/>
      <w:lvlText w:val="%1、"/>
      <w:lvlJc w:val="left"/>
    </w:lvl>
  </w:abstractNum>
  <w:abstractNum w:abstractNumId="1">
    <w:nsid w:val="90734BB9"/>
    <w:multiLevelType w:val="singleLevel"/>
    <w:tmpl w:val="90734BB9"/>
    <w:lvl w:ilvl="0" w:tentative="0">
      <w:start w:val="1"/>
      <w:numFmt w:val="decimal"/>
      <w:suff w:val="nothing"/>
      <w:lvlText w:val="（%1）"/>
      <w:lvlJc w:val="left"/>
    </w:lvl>
  </w:abstractNum>
  <w:abstractNum w:abstractNumId="2">
    <w:nsid w:val="1438625F"/>
    <w:multiLevelType w:val="singleLevel"/>
    <w:tmpl w:val="1438625F"/>
    <w:lvl w:ilvl="0" w:tentative="0">
      <w:start w:val="1"/>
      <w:numFmt w:val="chineseCounting"/>
      <w:suff w:val="nothing"/>
      <w:lvlText w:val="%1、"/>
      <w:lvlJc w:val="left"/>
      <w:rPr>
        <w:rFonts w:hint="eastAsia"/>
      </w:rPr>
    </w:lvl>
  </w:abstractNum>
  <w:abstractNum w:abstractNumId="3">
    <w:nsid w:val="37CF9573"/>
    <w:multiLevelType w:val="singleLevel"/>
    <w:tmpl w:val="37CF9573"/>
    <w:lvl w:ilvl="0" w:tentative="0">
      <w:start w:val="1"/>
      <w:numFmt w:val="decimal"/>
      <w:suff w:val="nothing"/>
      <w:lvlText w:val="%1、"/>
      <w:lvlJc w:val="left"/>
    </w:lvl>
  </w:abstractNum>
  <w:abstractNum w:abstractNumId="4">
    <w:nsid w:val="4C593D48"/>
    <w:multiLevelType w:val="singleLevel"/>
    <w:tmpl w:val="4C593D48"/>
    <w:lvl w:ilvl="0" w:tentative="0">
      <w:start w:val="1"/>
      <w:numFmt w:val="decimal"/>
      <w:suff w:val="nothing"/>
      <w:lvlText w:val="%1、"/>
      <w:lvlJc w:val="left"/>
    </w:lvl>
  </w:abstractNum>
  <w:abstractNum w:abstractNumId="5">
    <w:nsid w:val="7D591D68"/>
    <w:multiLevelType w:val="singleLevel"/>
    <w:tmpl w:val="7D591D68"/>
    <w:lvl w:ilvl="0" w:tentative="0">
      <w:start w:val="1"/>
      <w:numFmt w:val="decimal"/>
      <w:suff w:val="nothing"/>
      <w:lvlText w:val="（%1）"/>
      <w:lvlJc w:val="left"/>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xOThmMTBmOWRhMWNmNTIyMDRjZmE5NTZiNWQwOWIifQ=="/>
  </w:docVars>
  <w:rsids>
    <w:rsidRoot w:val="2D57575C"/>
    <w:rsid w:val="0A305B2B"/>
    <w:rsid w:val="0DBD5C91"/>
    <w:rsid w:val="0EAE03F0"/>
    <w:rsid w:val="13D62545"/>
    <w:rsid w:val="156A6103"/>
    <w:rsid w:val="20CC1B74"/>
    <w:rsid w:val="2D57575C"/>
    <w:rsid w:val="3A112A2D"/>
    <w:rsid w:val="4AAA4CED"/>
    <w:rsid w:val="60403C50"/>
    <w:rsid w:val="659C20BB"/>
    <w:rsid w:val="689B1083"/>
    <w:rsid w:val="70ED4A87"/>
    <w:rsid w:val="71255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rPr>
      <w:sz w:val="24"/>
    </w:rPr>
  </w:style>
  <w:style w:type="character" w:styleId="13">
    <w:name w:val="FollowedHyperlink"/>
    <w:basedOn w:val="12"/>
    <w:qFormat/>
    <w:uiPriority w:val="0"/>
    <w:rPr>
      <w:color w:val="2D64B3"/>
      <w:u w:val="none"/>
    </w:rPr>
  </w:style>
  <w:style w:type="character" w:styleId="14">
    <w:name w:val="Emphasis"/>
    <w:basedOn w:val="12"/>
    <w:qFormat/>
    <w:uiPriority w:val="0"/>
  </w:style>
  <w:style w:type="character" w:styleId="15">
    <w:name w:val="HTML Definition"/>
    <w:basedOn w:val="12"/>
    <w:qFormat/>
    <w:uiPriority w:val="0"/>
  </w:style>
  <w:style w:type="character" w:styleId="16">
    <w:name w:val="HTML Variable"/>
    <w:basedOn w:val="12"/>
    <w:qFormat/>
    <w:uiPriority w:val="0"/>
  </w:style>
  <w:style w:type="character" w:styleId="17">
    <w:name w:val="Hyperlink"/>
    <w:basedOn w:val="12"/>
    <w:qFormat/>
    <w:uiPriority w:val="0"/>
    <w:rPr>
      <w:color w:val="2D64B3"/>
      <w:u w:val="none"/>
    </w:rPr>
  </w:style>
  <w:style w:type="character" w:styleId="18">
    <w:name w:val="HTML Code"/>
    <w:basedOn w:val="12"/>
    <w:qFormat/>
    <w:uiPriority w:val="0"/>
    <w:rPr>
      <w:rFonts w:hint="default" w:ascii="Arial" w:hAnsi="Arial" w:cs="Arial"/>
      <w:sz w:val="20"/>
    </w:rPr>
  </w:style>
  <w:style w:type="character" w:styleId="19">
    <w:name w:val="HTML Cite"/>
    <w:basedOn w:val="12"/>
    <w:qFormat/>
    <w:uiPriority w:val="0"/>
  </w:style>
  <w:style w:type="character" w:styleId="20">
    <w:name w:val="HTML Keyboard"/>
    <w:basedOn w:val="12"/>
    <w:qFormat/>
    <w:uiPriority w:val="0"/>
    <w:rPr>
      <w:rFonts w:hint="default" w:ascii="Arial" w:hAnsi="Arial" w:cs="Arial"/>
      <w:sz w:val="20"/>
    </w:rPr>
  </w:style>
  <w:style w:type="character" w:styleId="21">
    <w:name w:val="HTML Sample"/>
    <w:basedOn w:val="12"/>
    <w:qFormat/>
    <w:uiPriority w:val="0"/>
    <w:rPr>
      <w:rFonts w:hint="eastAsia" w:ascii="Arial" w:hAnsi="Arial" w:cs="Arial"/>
    </w:rPr>
  </w:style>
  <w:style w:type="character" w:customStyle="1" w:styleId="22">
    <w:name w:val="font31"/>
    <w:basedOn w:val="12"/>
    <w:qFormat/>
    <w:uiPriority w:val="0"/>
    <w:rPr>
      <w:rFonts w:hint="eastAsia" w:ascii="宋体" w:hAnsi="宋体" w:eastAsia="宋体" w:cs="宋体"/>
      <w:color w:val="000000"/>
      <w:sz w:val="20"/>
      <w:szCs w:val="20"/>
      <w:u w:val="none"/>
    </w:rPr>
  </w:style>
  <w:style w:type="character" w:customStyle="1" w:styleId="23">
    <w:name w:val="font21"/>
    <w:basedOn w:val="12"/>
    <w:qFormat/>
    <w:uiPriority w:val="0"/>
    <w:rPr>
      <w:rFonts w:hint="default" w:ascii="Calibri" w:hAnsi="Calibri" w:cs="Calibri"/>
      <w:color w:val="000000"/>
      <w:sz w:val="20"/>
      <w:szCs w:val="20"/>
      <w:u w:val="none"/>
    </w:rPr>
  </w:style>
  <w:style w:type="character" w:customStyle="1" w:styleId="24">
    <w:name w:val="font01"/>
    <w:basedOn w:val="12"/>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14836</Words>
  <Characters>17672</Characters>
  <Lines>0</Lines>
  <Paragraphs>0</Paragraphs>
  <TotalTime>5</TotalTime>
  <ScaleCrop>false</ScaleCrop>
  <LinksUpToDate>false</LinksUpToDate>
  <CharactersWithSpaces>18397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2019-09-02T08:43:00Z</dcterms:created>
  <dc:creator>Administrator</dc:creator>
  <cp:lastModifiedBy>吴操William.Wu</cp:lastModifiedBy>
  <dcterms:modified xsi:type="dcterms:W3CDTF">2023-05-23T02:50:05Z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6D9E7181AA71458788B9B03BFB5AA27E_12</vt:lpwstr>
  </property>
</Properties>
</file>