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80" w:firstLineChars="150"/>
        <w:rPr>
          <w:rFonts w:hint="eastAsia" w:ascii="宋体" w:hAnsi="宋体"/>
          <w:sz w:val="52"/>
          <w:szCs w:val="52"/>
        </w:rPr>
      </w:pPr>
      <w:bookmarkStart w:id="0" w:name="_Toc3910_WPSOffice_Level1"/>
      <w:bookmarkStart w:id="1" w:name="_Toc30052"/>
    </w:p>
    <w:p>
      <w:pPr>
        <w:ind w:left="-273" w:leftChars="-130" w:firstLine="300" w:firstLineChars="68"/>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嘉鱼县县</w:t>
      </w:r>
      <w:r>
        <w:rPr>
          <w:rFonts w:hint="eastAsia" w:ascii="宋体" w:hAnsi="宋体" w:cs="宋体"/>
          <w:b/>
          <w:bCs/>
          <w:sz w:val="44"/>
          <w:szCs w:val="44"/>
          <w:lang w:eastAsia="zh-CN"/>
        </w:rPr>
        <w:t>级</w:t>
      </w:r>
      <w:r>
        <w:rPr>
          <w:rFonts w:ascii="宋体" w:hAnsi="宋体" w:cs="宋体"/>
          <w:b/>
          <w:bCs/>
          <w:sz w:val="44"/>
          <w:szCs w:val="44"/>
        </w:rPr>
        <w:t>财政项目</w:t>
      </w:r>
      <w:r>
        <w:rPr>
          <w:rFonts w:hint="eastAsia" w:ascii="宋体" w:hAnsi="宋体" w:cs="宋体"/>
          <w:b/>
          <w:bCs/>
          <w:sz w:val="44"/>
          <w:szCs w:val="44"/>
          <w:lang w:eastAsia="zh-CN"/>
        </w:rPr>
        <w:t>资金</w:t>
      </w:r>
    </w:p>
    <w:p>
      <w:pPr>
        <w:ind w:left="-273" w:leftChars="-130" w:firstLine="300" w:firstLineChars="68"/>
        <w:jc w:val="center"/>
        <w:rPr>
          <w:rFonts w:hint="eastAsia" w:ascii="宋体" w:hAnsi="宋体" w:cs="宋体"/>
          <w:b/>
          <w:bCs/>
          <w:sz w:val="44"/>
          <w:szCs w:val="44"/>
        </w:rPr>
      </w:pPr>
    </w:p>
    <w:p>
      <w:pPr>
        <w:jc w:val="center"/>
        <w:rPr>
          <w:rFonts w:hint="eastAsia" w:ascii="宋体" w:hAnsi="宋体" w:cs="宋体"/>
          <w:b/>
          <w:sz w:val="72"/>
          <w:szCs w:val="72"/>
        </w:rPr>
      </w:pPr>
      <w:r>
        <w:rPr>
          <w:rFonts w:hint="eastAsia" w:ascii="宋体" w:hAnsi="宋体" w:cs="宋体"/>
          <w:b/>
          <w:sz w:val="72"/>
          <w:szCs w:val="72"/>
        </w:rPr>
        <w:t>绩效评价报告</w:t>
      </w:r>
    </w:p>
    <w:p>
      <w:pPr>
        <w:jc w:val="center"/>
        <w:rPr>
          <w:rFonts w:hint="eastAsia" w:ascii="宋体" w:hAnsi="宋体" w:eastAsia="宋体" w:cs="宋体"/>
          <w:b/>
          <w:sz w:val="48"/>
          <w:szCs w:val="48"/>
          <w:lang w:eastAsia="zh-CN"/>
        </w:rPr>
      </w:pPr>
    </w:p>
    <w:p>
      <w:pPr>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w:t>
      </w:r>
      <w:r>
        <w:rPr>
          <w:rFonts w:hint="eastAsia" w:ascii="宋体" w:hAnsi="宋体" w:cs="宋体"/>
          <w:b/>
          <w:sz w:val="48"/>
          <w:szCs w:val="48"/>
          <w:lang w:eastAsia="zh-CN"/>
        </w:rPr>
        <w:t>缩略</w:t>
      </w:r>
      <w:r>
        <w:rPr>
          <w:rFonts w:hint="eastAsia" w:ascii="宋体" w:hAnsi="宋体" w:eastAsia="宋体" w:cs="宋体"/>
          <w:b/>
          <w:sz w:val="48"/>
          <w:szCs w:val="48"/>
          <w:lang w:eastAsia="zh-CN"/>
        </w:rPr>
        <w:t>版）</w:t>
      </w:r>
    </w:p>
    <w:p>
      <w:pPr>
        <w:spacing w:line="900" w:lineRule="exact"/>
        <w:jc w:val="center"/>
        <w:rPr>
          <w:rFonts w:ascii="宋体" w:hAnsi="宋体"/>
          <w:sz w:val="32"/>
          <w:szCs w:val="32"/>
        </w:rPr>
      </w:pPr>
    </w:p>
    <w:p>
      <w:pPr>
        <w:spacing w:line="900" w:lineRule="exact"/>
        <w:jc w:val="both"/>
        <w:rPr>
          <w:rFonts w:ascii="宋体" w:hAnsi="宋体"/>
          <w:sz w:val="32"/>
          <w:szCs w:val="32"/>
        </w:rPr>
      </w:pPr>
    </w:p>
    <w:p>
      <w:pPr>
        <w:spacing w:line="900" w:lineRule="exact"/>
        <w:jc w:val="center"/>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cs="宋体"/>
          <w:b/>
          <w:bCs/>
          <w:sz w:val="28"/>
          <w:szCs w:val="28"/>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ascii="宋体" w:hAnsi="宋体"/>
          <w:b/>
          <w:bCs/>
          <w:kern w:val="32"/>
          <w:sz w:val="28"/>
          <w:szCs w:val="28"/>
          <w:lang w:bidi="he-IL"/>
        </w:rPr>
        <w:t>项目名称：</w:t>
      </w:r>
      <w:r>
        <w:rPr>
          <w:rFonts w:hint="eastAsia" w:ascii="宋体" w:hAnsi="宋体"/>
          <w:b/>
          <w:bCs/>
          <w:kern w:val="32"/>
          <w:sz w:val="28"/>
          <w:szCs w:val="28"/>
          <w:lang w:eastAsia="zh-CN" w:bidi="he-IL"/>
        </w:rPr>
        <w:t>三湖连江沿湖景观工程</w:t>
      </w:r>
      <w:r>
        <w:rPr>
          <w:rFonts w:hint="eastAsia" w:ascii="宋体" w:hAnsi="宋体" w:cs="宋体"/>
          <w:b/>
          <w:bCs/>
          <w:sz w:val="28"/>
          <w:szCs w:val="28"/>
          <w:lang w:eastAsia="zh-CN"/>
        </w:rPr>
        <w:t>项目</w:t>
      </w:r>
      <w:r>
        <w:rPr>
          <w:rFonts w:hint="eastAsia" w:ascii="宋体" w:hAnsi="宋体" w:cs="宋体"/>
          <w:b/>
          <w:bCs/>
          <w:sz w:val="28"/>
          <w:szCs w:val="28"/>
        </w:rPr>
        <w:t>资金</w:t>
      </w:r>
    </w:p>
    <w:p>
      <w:pPr>
        <w:keepNext w:val="0"/>
        <w:keepLines w:val="0"/>
        <w:pageBreakBefore w:val="0"/>
        <w:widowControl w:val="0"/>
        <w:kinsoku/>
        <w:wordWrap/>
        <w:overflowPunct/>
        <w:topLinePunct w:val="0"/>
        <w:autoSpaceDE/>
        <w:autoSpaceDN/>
        <w:bidi w:val="0"/>
        <w:adjustRightInd/>
        <w:snapToGrid/>
        <w:spacing w:line="900" w:lineRule="exact"/>
        <w:ind w:left="735" w:leftChars="350"/>
        <w:jc w:val="left"/>
        <w:textAlignment w:val="auto"/>
        <w:rPr>
          <w:rFonts w:hint="default" w:ascii="宋体" w:hAnsi="宋体" w:eastAsia="宋体"/>
          <w:b/>
          <w:bCs/>
          <w:kern w:val="32"/>
          <w:sz w:val="28"/>
          <w:szCs w:val="28"/>
          <w:lang w:val="en-US" w:eastAsia="zh-CN" w:bidi="he-IL"/>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ascii="宋体" w:hAnsi="宋体"/>
          <w:b/>
          <w:bCs/>
          <w:kern w:val="32"/>
          <w:sz w:val="28"/>
          <w:szCs w:val="28"/>
          <w:lang w:bidi="he-IL"/>
        </w:rPr>
        <w:t>项目单位：</w:t>
      </w:r>
      <w:r>
        <w:rPr>
          <w:rFonts w:hint="eastAsia" w:ascii="宋体" w:hAnsi="宋体"/>
          <w:b/>
          <w:bCs/>
          <w:kern w:val="32"/>
          <w:sz w:val="28"/>
          <w:szCs w:val="28"/>
          <w:lang w:val="en-US" w:eastAsia="zh-CN" w:bidi="he-IL"/>
        </w:rPr>
        <w:t>嘉鱼县住建局</w:t>
      </w:r>
    </w:p>
    <w:p>
      <w:pPr>
        <w:keepNext w:val="0"/>
        <w:keepLines w:val="0"/>
        <w:pageBreakBefore w:val="0"/>
        <w:widowControl w:val="0"/>
        <w:kinsoku/>
        <w:wordWrap/>
        <w:overflowPunct/>
        <w:topLinePunct w:val="0"/>
        <w:autoSpaceDE/>
        <w:autoSpaceDN/>
        <w:bidi w:val="0"/>
        <w:adjustRightInd/>
        <w:snapToGrid/>
        <w:spacing w:line="900" w:lineRule="exact"/>
        <w:ind w:left="735" w:leftChars="350"/>
        <w:jc w:val="left"/>
        <w:textAlignment w:val="auto"/>
        <w:rPr>
          <w:rFonts w:hint="eastAsia" w:ascii="宋体" w:hAnsi="宋体"/>
          <w:b/>
          <w:bCs/>
          <w:kern w:val="32"/>
          <w:sz w:val="28"/>
          <w:szCs w:val="28"/>
          <w:lang w:bidi="he-IL"/>
        </w:rPr>
      </w:pPr>
      <w:r>
        <w:rPr>
          <w:rFonts w:hint="eastAsia" w:ascii="宋体" w:hAnsi="宋体"/>
          <w:b/>
          <w:bCs/>
          <w:kern w:val="32"/>
          <w:sz w:val="28"/>
          <w:szCs w:val="28"/>
          <w:lang w:bidi="he-IL"/>
        </w:rPr>
        <w:t xml:space="preserve">    </w:t>
      </w:r>
      <w:r>
        <w:rPr>
          <w:rFonts w:hint="eastAsia" w:ascii="宋体" w:hAnsi="宋体"/>
          <w:b/>
          <w:bCs/>
          <w:kern w:val="32"/>
          <w:sz w:val="28"/>
          <w:szCs w:val="28"/>
          <w:lang w:val="en-US" w:eastAsia="zh-CN" w:bidi="he-IL"/>
        </w:rPr>
        <w:t xml:space="preserve"> </w:t>
      </w:r>
      <w:r>
        <w:rPr>
          <w:rFonts w:hint="eastAsia" w:ascii="宋体" w:hAnsi="宋体"/>
          <w:b/>
          <w:bCs/>
          <w:kern w:val="32"/>
          <w:sz w:val="28"/>
          <w:szCs w:val="28"/>
          <w:lang w:bidi="he-IL"/>
        </w:rPr>
        <w:t xml:space="preserve"> </w:t>
      </w:r>
      <w:r>
        <w:rPr>
          <w:rFonts w:hint="eastAsia" w:ascii="宋体" w:hAnsi="宋体"/>
          <w:b/>
          <w:bCs/>
          <w:kern w:val="32"/>
          <w:sz w:val="28"/>
          <w:szCs w:val="28"/>
          <w:lang w:eastAsia="zh-CN" w:bidi="he-IL"/>
        </w:rPr>
        <w:t>评价</w:t>
      </w:r>
      <w:r>
        <w:rPr>
          <w:rFonts w:ascii="宋体" w:hAnsi="宋体"/>
          <w:b/>
          <w:bCs/>
          <w:kern w:val="32"/>
          <w:sz w:val="28"/>
          <w:szCs w:val="28"/>
          <w:lang w:bidi="he-IL"/>
        </w:rPr>
        <w:t>单位：</w:t>
      </w:r>
      <w:r>
        <w:rPr>
          <w:rFonts w:hint="eastAsia" w:ascii="宋体" w:hAnsi="宋体"/>
          <w:b/>
          <w:bCs/>
          <w:kern w:val="32"/>
          <w:sz w:val="28"/>
          <w:szCs w:val="28"/>
          <w:lang w:eastAsia="zh-CN" w:bidi="he-IL"/>
        </w:rPr>
        <w:t>嘉鱼县</w:t>
      </w:r>
      <w:r>
        <w:rPr>
          <w:rFonts w:ascii="宋体" w:hAnsi="宋体"/>
          <w:b/>
          <w:bCs/>
          <w:kern w:val="32"/>
          <w:sz w:val="28"/>
          <w:szCs w:val="28"/>
          <w:lang w:bidi="he-IL"/>
        </w:rPr>
        <w:t>财政局</w:t>
      </w:r>
    </w:p>
    <w:p>
      <w:pPr>
        <w:ind w:left="735" w:leftChars="350"/>
        <w:jc w:val="left"/>
        <w:rPr>
          <w:rFonts w:hint="eastAsia" w:ascii="宋体" w:hAnsi="宋体"/>
          <w:kern w:val="32"/>
          <w:sz w:val="28"/>
          <w:szCs w:val="28"/>
          <w:lang w:bidi="he-IL"/>
        </w:rPr>
      </w:pPr>
      <w:r>
        <w:rPr>
          <w:rFonts w:hint="eastAsia" w:ascii="宋体" w:hAnsi="宋体"/>
          <w:b/>
          <w:bCs/>
          <w:kern w:val="32"/>
          <w:sz w:val="28"/>
          <w:szCs w:val="28"/>
          <w:lang w:bidi="he-IL"/>
        </w:rPr>
        <w:t xml:space="preserve">     </w:t>
      </w:r>
    </w:p>
    <w:p>
      <w:pPr>
        <w:jc w:val="center"/>
        <w:rPr>
          <w:rFonts w:ascii="宋体" w:hAnsi="宋体"/>
          <w:sz w:val="28"/>
          <w:szCs w:val="28"/>
          <w:u w:val="single"/>
        </w:rPr>
      </w:pPr>
      <w:r>
        <w:rPr>
          <w:rFonts w:ascii="宋体" w:hAnsi="宋体"/>
          <w:sz w:val="28"/>
          <w:szCs w:val="28"/>
        </w:rPr>
        <w:t xml:space="preserve">   </w:t>
      </w:r>
    </w:p>
    <w:p>
      <w:pPr>
        <w:spacing w:line="480" w:lineRule="exact"/>
        <w:ind w:right="480" w:firstLine="551" w:firstLineChars="196"/>
        <w:jc w:val="center"/>
        <w:rPr>
          <w:rFonts w:hint="eastAsia" w:ascii="宋体" w:hAnsi="宋体" w:cs="宋体"/>
          <w:b/>
          <w:bCs/>
          <w:sz w:val="28"/>
          <w:szCs w:val="28"/>
        </w:rPr>
        <w:sectPr>
          <w:footerReference r:id="rId3" w:type="even"/>
          <w:pgSz w:w="11906" w:h="16838"/>
          <w:pgMar w:top="2041" w:right="1304" w:bottom="1418" w:left="1531" w:header="851" w:footer="992" w:gutter="0"/>
          <w:pgNumType w:fmt="decimal"/>
          <w:cols w:space="720" w:num="1"/>
          <w:docGrid w:type="lines" w:linePitch="312" w:charSpace="0"/>
        </w:sectPr>
      </w:pPr>
      <w:r>
        <w:rPr>
          <w:rFonts w:ascii="宋体" w:hAnsi="宋体"/>
          <w:b/>
          <w:bCs/>
          <w:sz w:val="28"/>
          <w:szCs w:val="28"/>
        </w:rPr>
        <w:t>二〇</w:t>
      </w:r>
      <w:r>
        <w:rPr>
          <w:rFonts w:hint="eastAsia" w:ascii="宋体" w:hAnsi="宋体"/>
          <w:b/>
          <w:bCs/>
          <w:sz w:val="28"/>
          <w:szCs w:val="28"/>
          <w:lang w:eastAsia="zh-CN"/>
        </w:rPr>
        <w:t>二</w:t>
      </w:r>
      <w:r>
        <w:rPr>
          <w:rFonts w:ascii="宋体" w:hAnsi="宋体"/>
          <w:b/>
          <w:bCs/>
          <w:sz w:val="28"/>
          <w:szCs w:val="28"/>
        </w:rPr>
        <w:t>〇年</w:t>
      </w:r>
      <w:r>
        <w:rPr>
          <w:rFonts w:hint="eastAsia" w:ascii="宋体" w:hAnsi="宋体"/>
          <w:b/>
          <w:bCs/>
          <w:sz w:val="28"/>
          <w:szCs w:val="28"/>
          <w:lang w:val="en-US" w:eastAsia="zh-CN"/>
        </w:rPr>
        <w:t>十</w:t>
      </w:r>
      <w:r>
        <w:rPr>
          <w:rFonts w:ascii="宋体" w:hAnsi="宋体"/>
          <w:b/>
          <w:bCs/>
          <w:sz w:val="28"/>
          <w:szCs w:val="28"/>
        </w:rPr>
        <w:t>月</w:t>
      </w:r>
      <w:r>
        <w:rPr>
          <w:rFonts w:hint="eastAsia" w:ascii="宋体" w:hAnsi="宋体"/>
          <w:b/>
          <w:bCs/>
          <w:sz w:val="28"/>
          <w:szCs w:val="28"/>
          <w:lang w:val="en-US" w:eastAsia="zh-CN"/>
        </w:rPr>
        <w:t>十三</w:t>
      </w:r>
      <w:r>
        <w:rPr>
          <w:rFonts w:hint="eastAsia" w:ascii="宋体" w:hAnsi="宋体" w:cs="宋体"/>
          <w:b/>
          <w:bCs/>
          <w:sz w:val="28"/>
          <w:szCs w:val="28"/>
        </w:rPr>
        <w:t>日</w:t>
      </w:r>
    </w:p>
    <w:p>
      <w:pPr>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目 录</w:t>
      </w:r>
    </w:p>
    <w:p>
      <w:pPr>
        <w:pStyle w:val="7"/>
        <w:tabs>
          <w:tab w:val="right" w:leader="dot" w:pos="9071"/>
        </w:tabs>
        <w:rPr>
          <w:rFonts w:hint="eastAsia" w:ascii="仿宋" w:hAnsi="仿宋" w:eastAsia="仿宋" w:cs="仿宋"/>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"1-3" \h \u </w:instrText>
      </w:r>
      <w:r>
        <w:rPr>
          <w:rFonts w:hint="eastAsia" w:ascii="宋体" w:hAnsi="宋体" w:cs="宋体"/>
          <w:b/>
          <w:bCs/>
          <w:sz w:val="28"/>
          <w:szCs w:val="28"/>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_Toc19884 </w:instrText>
      </w:r>
      <w:r>
        <w:rPr>
          <w:rFonts w:hint="eastAsia" w:ascii="仿宋" w:hAnsi="仿宋" w:eastAsia="仿宋" w:cs="仿宋"/>
          <w:bCs/>
          <w:sz w:val="28"/>
          <w:szCs w:val="28"/>
        </w:rPr>
        <w:fldChar w:fldCharType="separate"/>
      </w:r>
      <w:r>
        <w:rPr>
          <w:rFonts w:hint="eastAsia" w:ascii="仿宋" w:hAnsi="仿宋" w:eastAsia="仿宋" w:cs="仿宋"/>
          <w:bCs/>
          <w:kern w:val="44"/>
          <w:sz w:val="28"/>
          <w:szCs w:val="28"/>
          <w:lang w:val="en-US" w:eastAsia="zh-CN" w:bidi="ar-SA"/>
        </w:rPr>
        <w:t>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_Toc19884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_Toc22680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第一部分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绩效</w:t>
      </w:r>
      <w:r>
        <w:rPr>
          <w:rFonts w:hint="eastAsia" w:ascii="仿宋" w:hAnsi="仿宋" w:eastAsia="仿宋" w:cs="仿宋"/>
          <w:bCs/>
          <w:sz w:val="28"/>
          <w:szCs w:val="28"/>
        </w:rPr>
        <w:t>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_Toc22680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7"/>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_Toc24425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第二部分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佐证材料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_Toc24425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_Toc614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_Toc614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_Toc10387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（一）项目立项目的和年度绩效目标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_Toc10387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_Toc10321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（二）项目资金情况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_Toc10321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_Toc13115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二、绩效评价工作开展情况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_Toc13115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_Toc4411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（一）评价目的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_Toc4411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_Toc25454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（二）绩效评价框架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_Toc12015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（三）绩效评价过程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_Toc12015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_Toc12812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三、绩效指标完成情况分析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_Toc12812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_Toc13314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（一）</w:t>
      </w:r>
      <w:r>
        <w:rPr>
          <w:rFonts w:hint="eastAsia" w:ascii="仿宋" w:hAnsi="仿宋" w:eastAsia="仿宋" w:cs="仿宋"/>
          <w:bCs/>
          <w:sz w:val="28"/>
          <w:szCs w:val="28"/>
        </w:rPr>
        <w:t>项目</w:t>
      </w:r>
      <w:r>
        <w:rPr>
          <w:rFonts w:hint="eastAsia" w:ascii="仿宋" w:hAnsi="仿宋" w:eastAsia="仿宋" w:cs="仿宋"/>
          <w:bCs/>
          <w:sz w:val="28"/>
          <w:szCs w:val="28"/>
          <w:lang w:eastAsia="zh-CN"/>
        </w:rPr>
        <w:t>决策</w:t>
      </w:r>
      <w:r>
        <w:rPr>
          <w:rFonts w:hint="eastAsia" w:ascii="仿宋" w:hAnsi="仿宋" w:eastAsia="仿宋" w:cs="仿宋"/>
          <w:sz w:val="28"/>
          <w:szCs w:val="28"/>
        </w:rPr>
        <w:t>（本项</w:t>
      </w:r>
      <w:r>
        <w:rPr>
          <w:rFonts w:hint="eastAsia" w:ascii="仿宋" w:hAnsi="仿宋" w:eastAsia="仿宋" w:cs="仿宋"/>
          <w:sz w:val="28"/>
          <w:szCs w:val="28"/>
          <w:lang w:val="en-US" w:eastAsia="zh-CN"/>
        </w:rPr>
        <w:t>20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17</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_Toc13314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_Toc6061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（二）</w:t>
      </w:r>
      <w:r>
        <w:rPr>
          <w:rFonts w:hint="eastAsia" w:ascii="仿宋" w:hAnsi="仿宋" w:eastAsia="仿宋" w:cs="仿宋"/>
          <w:bCs/>
          <w:sz w:val="28"/>
          <w:szCs w:val="28"/>
        </w:rPr>
        <w:t>项目</w:t>
      </w:r>
      <w:r>
        <w:rPr>
          <w:rFonts w:hint="eastAsia" w:ascii="仿宋" w:hAnsi="仿宋" w:eastAsia="仿宋" w:cs="仿宋"/>
          <w:bCs/>
          <w:sz w:val="28"/>
          <w:szCs w:val="28"/>
          <w:lang w:eastAsia="zh-CN"/>
        </w:rPr>
        <w:t>过程</w:t>
      </w:r>
      <w:r>
        <w:rPr>
          <w:rFonts w:hint="eastAsia" w:ascii="仿宋" w:hAnsi="仿宋" w:eastAsia="仿宋" w:cs="仿宋"/>
          <w:sz w:val="28"/>
          <w:szCs w:val="28"/>
        </w:rPr>
        <w:t>（本项</w:t>
      </w:r>
      <w:r>
        <w:rPr>
          <w:rFonts w:hint="eastAsia" w:ascii="仿宋" w:hAnsi="仿宋" w:eastAsia="仿宋" w:cs="仿宋"/>
          <w:sz w:val="28"/>
          <w:szCs w:val="28"/>
          <w:lang w:val="en-US" w:eastAsia="zh-CN"/>
        </w:rPr>
        <w:t>20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17</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_Toc6061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_Toc19898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（三）</w:t>
      </w:r>
      <w:r>
        <w:rPr>
          <w:rFonts w:hint="eastAsia" w:ascii="仿宋" w:hAnsi="仿宋" w:eastAsia="仿宋" w:cs="仿宋"/>
          <w:bCs w:val="0"/>
          <w:sz w:val="28"/>
          <w:szCs w:val="28"/>
        </w:rPr>
        <w:t>项目产出</w:t>
      </w:r>
      <w:r>
        <w:rPr>
          <w:rFonts w:hint="eastAsia" w:ascii="仿宋" w:hAnsi="仿宋" w:eastAsia="仿宋" w:cs="仿宋"/>
          <w:sz w:val="28"/>
          <w:szCs w:val="28"/>
        </w:rPr>
        <w:t>（本项</w:t>
      </w:r>
      <w:r>
        <w:rPr>
          <w:rFonts w:hint="eastAsia" w:ascii="仿宋" w:hAnsi="仿宋" w:eastAsia="仿宋" w:cs="仿宋"/>
          <w:sz w:val="28"/>
          <w:szCs w:val="28"/>
          <w:lang w:val="en-US" w:eastAsia="zh-CN"/>
        </w:rPr>
        <w:t>30</w:t>
      </w:r>
      <w:r>
        <w:rPr>
          <w:rFonts w:hint="eastAsia" w:ascii="仿宋" w:hAnsi="仿宋" w:eastAsia="仿宋" w:cs="仿宋"/>
          <w:sz w:val="28"/>
          <w:szCs w:val="28"/>
        </w:rPr>
        <w:t>分，综合平均得分</w:t>
      </w:r>
      <w:r>
        <w:rPr>
          <w:rFonts w:hint="eastAsia" w:ascii="仿宋" w:hAnsi="仿宋" w:eastAsia="仿宋" w:cs="仿宋"/>
          <w:sz w:val="28"/>
          <w:szCs w:val="28"/>
          <w:lang w:val="en-US" w:eastAsia="zh-CN"/>
        </w:rPr>
        <w:t>22</w:t>
      </w:r>
      <w:r>
        <w:rPr>
          <w:rFonts w:hint="eastAsia" w:ascii="仿宋" w:hAnsi="仿宋" w:eastAsia="仿宋" w:cs="仿宋"/>
          <w:sz w:val="28"/>
          <w:szCs w:val="28"/>
        </w:rPr>
        <w:t>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_Toc19898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5"/>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_Toc28507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（四）项目效果（本项30分，综合平均得分28分）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_Toc28507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_Toc19021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eastAsia="zh-CN"/>
        </w:rPr>
        <w:t>四、综合评分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_Toc19021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_Toc6248 </w:instrText>
      </w:r>
      <w:r>
        <w:rPr>
          <w:rFonts w:hint="eastAsia" w:ascii="仿宋" w:hAnsi="仿宋" w:eastAsia="仿宋" w:cs="仿宋"/>
          <w:bCs/>
          <w:sz w:val="28"/>
          <w:szCs w:val="28"/>
        </w:rPr>
        <w:fldChar w:fldCharType="separate"/>
      </w:r>
      <w:r>
        <w:rPr>
          <w:rFonts w:hint="eastAsia" w:ascii="仿宋" w:hAnsi="仿宋" w:eastAsia="仿宋" w:cs="仿宋"/>
          <w:bCs w:val="0"/>
          <w:kern w:val="0"/>
          <w:sz w:val="28"/>
          <w:szCs w:val="28"/>
          <w:lang w:val="en-US" w:eastAsia="zh-CN"/>
        </w:rPr>
        <w:t>五、存在的主要问题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_Toc6248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_Toc30196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七、其他需说明的问题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_Toc30196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pStyle w:val="8"/>
        <w:tabs>
          <w:tab w:val="right" w:leader="dot" w:pos="9071"/>
        </w:tabs>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_Toc6059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lang w:val="en-US" w:eastAsia="zh-CN"/>
        </w:rPr>
        <w:t>八、附件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_Toc6059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pPr>
        <w:spacing w:line="480" w:lineRule="exact"/>
        <w:ind w:right="480" w:firstLine="411" w:firstLineChars="196"/>
        <w:jc w:val="center"/>
        <w:rPr>
          <w:rFonts w:hint="eastAsia" w:ascii="宋体" w:hAnsi="宋体" w:cs="宋体"/>
          <w:b/>
          <w:bCs/>
          <w:sz w:val="28"/>
          <w:szCs w:val="28"/>
        </w:rPr>
        <w:sectPr>
          <w:pgSz w:w="11906" w:h="16838"/>
          <w:pgMar w:top="2041" w:right="1304" w:bottom="1418" w:left="1531" w:header="851" w:footer="992" w:gutter="0"/>
          <w:pgNumType w:fmt="decimal"/>
          <w:cols w:space="720" w:num="1"/>
          <w:docGrid w:type="lines" w:linePitch="312" w:charSpace="0"/>
        </w:sectPr>
      </w:pPr>
      <w:r>
        <w:rPr>
          <w:rFonts w:hint="eastAsia" w:ascii="宋体" w:hAnsi="宋体" w:cs="宋体"/>
          <w:bCs/>
          <w:szCs w:val="28"/>
        </w:rPr>
        <w:fldChar w:fldCharType="end"/>
      </w:r>
    </w:p>
    <w:p>
      <w:pPr>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6"/>
          <w:szCs w:val="36"/>
          <w:lang w:val="en-US" w:eastAsia="zh-CN"/>
        </w:r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 w:val="36"/>
          <w:szCs w:val="36"/>
          <w:lang w:val="en-US" w:eastAsia="zh-CN"/>
        </w:rPr>
      </w:pPr>
      <w:bookmarkStart w:id="2" w:name="_Toc3768"/>
      <w:bookmarkStart w:id="3" w:name="_Toc19884"/>
      <w:r>
        <w:rPr>
          <w:rFonts w:hint="eastAsia" w:ascii="黑体" w:hAnsi="黑体" w:eastAsia="黑体" w:cs="黑体"/>
          <w:b/>
          <w:bCs/>
          <w:kern w:val="44"/>
          <w:sz w:val="32"/>
          <w:szCs w:val="32"/>
          <w:lang w:val="en-US" w:eastAsia="zh-CN" w:bidi="ar-SA"/>
        </w:rPr>
        <w:t>总  则</w:t>
      </w:r>
      <w:bookmarkEnd w:id="2"/>
      <w:bookmarkEnd w:id="3"/>
    </w:p>
    <w:p>
      <w:pPr>
        <w:pageBreakBefore w:val="0"/>
        <w:kinsoku/>
        <w:wordWrap/>
        <w:overflowPunct/>
        <w:topLinePunct w:val="0"/>
        <w:autoSpaceDE/>
        <w:autoSpaceDN/>
        <w:bidi w:val="0"/>
        <w:adjustRightInd/>
        <w:snapToGrid/>
        <w:spacing w:line="360" w:lineRule="auto"/>
        <w:ind w:firstLine="1080" w:firstLineChars="300"/>
        <w:jc w:val="center"/>
        <w:textAlignment w:val="auto"/>
        <w:rPr>
          <w:rFonts w:hint="eastAsia" w:ascii="黑体" w:hAnsi="黑体" w:eastAsia="黑体" w:cs="黑体"/>
          <w:sz w:val="36"/>
          <w:szCs w:val="36"/>
          <w:lang w:val="en-US" w:eastAsia="zh-CN"/>
        </w:rPr>
      </w:pP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为全面了解</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的</w:t>
      </w:r>
      <w:r>
        <w:rPr>
          <w:rFonts w:hint="eastAsia" w:ascii="仿宋" w:hAnsi="仿宋" w:eastAsia="仿宋" w:cs="仿宋"/>
          <w:sz w:val="32"/>
          <w:szCs w:val="32"/>
          <w:lang w:eastAsia="zh-CN"/>
        </w:rPr>
        <w:t>建设</w:t>
      </w:r>
      <w:r>
        <w:rPr>
          <w:rFonts w:hint="eastAsia" w:ascii="仿宋" w:hAnsi="仿宋" w:eastAsia="仿宋" w:cs="仿宋"/>
          <w:sz w:val="32"/>
          <w:szCs w:val="32"/>
        </w:rPr>
        <w:t>情况和实施效果，确保项目资金使用管理的规范性、安全性和有效性，</w:t>
      </w:r>
      <w:r>
        <w:rPr>
          <w:rFonts w:hint="eastAsia" w:ascii="仿宋" w:hAnsi="仿宋" w:eastAsia="仿宋" w:cs="仿宋"/>
          <w:sz w:val="32"/>
          <w:szCs w:val="32"/>
          <w:lang w:eastAsia="zh-CN"/>
        </w:rPr>
        <w:t>嘉鱼县</w:t>
      </w:r>
      <w:r>
        <w:rPr>
          <w:rFonts w:hint="eastAsia" w:ascii="仿宋" w:hAnsi="仿宋" w:eastAsia="仿宋" w:cs="仿宋"/>
          <w:sz w:val="32"/>
          <w:szCs w:val="32"/>
        </w:rPr>
        <w:t>财政局</w:t>
      </w:r>
      <w:r>
        <w:rPr>
          <w:rFonts w:hint="eastAsia" w:ascii="仿宋" w:hAnsi="仿宋" w:eastAsia="仿宋" w:cs="仿宋"/>
          <w:sz w:val="32"/>
          <w:szCs w:val="32"/>
          <w:lang w:eastAsia="zh-CN"/>
        </w:rPr>
        <w:t>绩效股</w:t>
      </w:r>
      <w:r>
        <w:rPr>
          <w:rFonts w:hint="eastAsia" w:ascii="仿宋" w:hAnsi="仿宋" w:eastAsia="仿宋" w:cs="仿宋"/>
          <w:sz w:val="32"/>
          <w:szCs w:val="32"/>
        </w:rPr>
        <w:t>委托第三方机构——湖北</w:t>
      </w:r>
      <w:r>
        <w:rPr>
          <w:rFonts w:hint="eastAsia" w:ascii="仿宋" w:hAnsi="仿宋" w:eastAsia="仿宋" w:cs="仿宋"/>
          <w:sz w:val="32"/>
          <w:szCs w:val="32"/>
          <w:lang w:eastAsia="zh-CN"/>
        </w:rPr>
        <w:t>同业</w:t>
      </w:r>
      <w:r>
        <w:rPr>
          <w:rFonts w:hint="eastAsia" w:ascii="仿宋" w:hAnsi="仿宋" w:eastAsia="仿宋" w:cs="仿宋"/>
          <w:sz w:val="32"/>
          <w:szCs w:val="32"/>
        </w:rPr>
        <w:t>会计师事务有限公司，以20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日为评价基准日，对</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进行绩效评价。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sectPr>
          <w:headerReference r:id="rId4" w:type="default"/>
          <w:footerReference r:id="rId5" w:type="default"/>
          <w:pgSz w:w="11906" w:h="16838"/>
          <w:pgMar w:top="1440" w:right="1463" w:bottom="1440" w:left="1463" w:header="851" w:footer="992" w:gutter="0"/>
          <w:pgNumType w:fmt="decimal" w:start="1"/>
          <w:cols w:space="720" w:num="1"/>
          <w:docGrid w:type="lines" w:linePitch="312" w:charSpace="0"/>
        </w:sectPr>
      </w:pPr>
      <w:r>
        <w:rPr>
          <w:rFonts w:hint="eastAsia" w:ascii="仿宋" w:hAnsi="仿宋" w:eastAsia="仿宋" w:cs="仿宋"/>
          <w:sz w:val="32"/>
          <w:szCs w:val="32"/>
        </w:rPr>
        <w:t>湖北</w:t>
      </w:r>
      <w:r>
        <w:rPr>
          <w:rFonts w:hint="eastAsia" w:ascii="仿宋" w:hAnsi="仿宋" w:eastAsia="仿宋" w:cs="仿宋"/>
          <w:sz w:val="32"/>
          <w:szCs w:val="32"/>
          <w:lang w:eastAsia="zh-CN"/>
        </w:rPr>
        <w:t>同业</w:t>
      </w:r>
      <w:r>
        <w:rPr>
          <w:rFonts w:hint="eastAsia" w:ascii="仿宋" w:hAnsi="仿宋" w:eastAsia="仿宋" w:cs="仿宋"/>
          <w:sz w:val="32"/>
          <w:szCs w:val="32"/>
        </w:rPr>
        <w:t>会计师事务</w:t>
      </w:r>
      <w:r>
        <w:rPr>
          <w:rFonts w:hint="eastAsia" w:ascii="仿宋" w:hAnsi="仿宋" w:eastAsia="仿宋" w:cs="仿宋"/>
          <w:sz w:val="32"/>
          <w:szCs w:val="32"/>
          <w:lang w:eastAsia="zh-CN"/>
        </w:rPr>
        <w:t>有限公司</w:t>
      </w:r>
      <w:r>
        <w:rPr>
          <w:rFonts w:hint="eastAsia" w:ascii="仿宋" w:hAnsi="仿宋" w:eastAsia="仿宋" w:cs="仿宋"/>
          <w:sz w:val="32"/>
          <w:szCs w:val="32"/>
        </w:rPr>
        <w:t>依据财政部《关于全面推进财政支出绩效评价工作的意见》（财预</w:t>
      </w:r>
      <w:r>
        <w:rPr>
          <w:rFonts w:hint="eastAsia" w:ascii="仿宋" w:hAnsi="仿宋" w:eastAsia="仿宋" w:cs="仿宋"/>
          <w:sz w:val="32"/>
          <w:szCs w:val="32"/>
          <w:lang w:eastAsia="zh-CN"/>
        </w:rPr>
        <w:t>〔</w:t>
      </w:r>
      <w:r>
        <w:rPr>
          <w:rFonts w:hint="eastAsia" w:ascii="仿宋" w:hAnsi="仿宋" w:eastAsia="仿宋" w:cs="仿宋"/>
          <w:sz w:val="32"/>
          <w:szCs w:val="32"/>
        </w:rPr>
        <w:t>2011</w:t>
      </w:r>
      <w:r>
        <w:rPr>
          <w:rFonts w:hint="eastAsia" w:ascii="仿宋" w:hAnsi="仿宋" w:eastAsia="仿宋" w:cs="仿宋"/>
          <w:sz w:val="32"/>
          <w:szCs w:val="32"/>
          <w:lang w:eastAsia="zh-CN"/>
        </w:rPr>
        <w:t>〕</w:t>
      </w:r>
      <w:r>
        <w:rPr>
          <w:rFonts w:hint="eastAsia" w:ascii="仿宋" w:hAnsi="仿宋" w:eastAsia="仿宋" w:cs="仿宋"/>
          <w:sz w:val="32"/>
          <w:szCs w:val="32"/>
        </w:rPr>
        <w:t>270号文件）、《省人民政府关于推进预算绩效管理的意见》（鄂政发</w:t>
      </w:r>
      <w:r>
        <w:rPr>
          <w:rFonts w:hint="eastAsia" w:ascii="仿宋" w:hAnsi="仿宋" w:eastAsia="仿宋" w:cs="仿宋"/>
          <w:sz w:val="32"/>
          <w:szCs w:val="32"/>
          <w:lang w:eastAsia="zh-CN"/>
        </w:rPr>
        <w:t>〔</w:t>
      </w:r>
      <w:r>
        <w:rPr>
          <w:rFonts w:hint="eastAsia" w:ascii="仿宋" w:hAnsi="仿宋" w:eastAsia="仿宋" w:cs="仿宋"/>
          <w:sz w:val="32"/>
          <w:szCs w:val="32"/>
        </w:rPr>
        <w:t>2013</w:t>
      </w:r>
      <w:r>
        <w:rPr>
          <w:rFonts w:hint="eastAsia" w:ascii="仿宋" w:hAnsi="仿宋" w:eastAsia="仿宋" w:cs="仿宋"/>
          <w:sz w:val="32"/>
          <w:szCs w:val="32"/>
          <w:lang w:eastAsia="zh-CN"/>
        </w:rPr>
        <w:t>〕</w:t>
      </w:r>
      <w:r>
        <w:rPr>
          <w:rFonts w:hint="eastAsia" w:ascii="仿宋" w:hAnsi="仿宋" w:eastAsia="仿宋" w:cs="仿宋"/>
          <w:sz w:val="32"/>
          <w:szCs w:val="32"/>
        </w:rPr>
        <w:t>9号文件）等文件的规定和要求，秉承第三方评价应遵循的客观、公平、公正原则，在</w:t>
      </w:r>
      <w:r>
        <w:rPr>
          <w:rFonts w:hint="eastAsia" w:ascii="仿宋" w:hAnsi="仿宋" w:eastAsia="仿宋" w:cs="仿宋"/>
          <w:sz w:val="32"/>
          <w:szCs w:val="32"/>
          <w:lang w:eastAsia="zh-CN"/>
        </w:rPr>
        <w:t>嘉鱼县住建局</w:t>
      </w:r>
      <w:r>
        <w:rPr>
          <w:rFonts w:hint="eastAsia" w:ascii="仿宋" w:hAnsi="仿宋" w:eastAsia="仿宋" w:cs="仿宋"/>
          <w:sz w:val="32"/>
          <w:szCs w:val="32"/>
        </w:rPr>
        <w:t>和相关单位的配合下，实施了必要的评价程序，并形成本绩效评价报告。</w:t>
      </w:r>
    </w:p>
    <w:p>
      <w:pPr>
        <w:pStyle w:val="2"/>
        <w:numPr>
          <w:ilvl w:val="0"/>
          <w:numId w:val="0"/>
        </w:numPr>
        <w:spacing w:before="0" w:after="0" w:line="360" w:lineRule="auto"/>
        <w:ind w:firstLine="643" w:firstLineChars="200"/>
        <w:jc w:val="center"/>
        <w:rPr>
          <w:rFonts w:hint="eastAsia" w:ascii="黑体" w:hAnsi="黑体" w:eastAsia="黑体" w:cs="黑体"/>
          <w:b/>
          <w:bCs/>
          <w:sz w:val="32"/>
          <w:szCs w:val="32"/>
        </w:rPr>
      </w:pPr>
      <w:bookmarkStart w:id="4" w:name="_Toc22680"/>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绩效</w:t>
      </w:r>
      <w:r>
        <w:rPr>
          <w:rFonts w:hint="eastAsia" w:ascii="黑体" w:hAnsi="黑体" w:eastAsia="黑体" w:cs="黑体"/>
          <w:b/>
          <w:bCs/>
          <w:sz w:val="32"/>
          <w:szCs w:val="32"/>
        </w:rPr>
        <w:t>评价结论</w:t>
      </w:r>
      <w:bookmarkEnd w:id="0"/>
      <w:bookmarkEnd w:id="1"/>
      <w:bookmarkEnd w:id="4"/>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eastAsia="zh-CN"/>
        </w:rPr>
      </w:pPr>
      <w:bookmarkStart w:id="5" w:name="_Toc28488_WPSOffice_Level2"/>
      <w:bookmarkStart w:id="6" w:name="_Toc17980"/>
      <w:r>
        <w:rPr>
          <w:rFonts w:hint="eastAsia" w:ascii="黑体" w:hAnsi="黑体" w:eastAsia="黑体" w:cs="黑体"/>
          <w:b w:val="0"/>
          <w:bCs w:val="0"/>
          <w:sz w:val="32"/>
          <w:szCs w:val="32"/>
          <w:lang w:eastAsia="zh-CN"/>
        </w:rPr>
        <w:t>一、综合评分</w:t>
      </w:r>
      <w:bookmarkEnd w:id="5"/>
      <w:bookmarkEnd w:id="6"/>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kern w:val="0"/>
          <w:sz w:val="32"/>
          <w:szCs w:val="32"/>
        </w:rPr>
        <w:t>根据项目支出绩效评价的要求，按照项目支出绩效评价指标进行分析，对指标体系进行评分，此次绩效评价的综合得</w:t>
      </w:r>
      <w:r>
        <w:rPr>
          <w:rFonts w:hint="eastAsia" w:ascii="仿宋" w:hAnsi="仿宋" w:eastAsia="仿宋" w:cs="仿宋"/>
          <w:color w:val="auto"/>
          <w:kern w:val="0"/>
          <w:sz w:val="32"/>
          <w:szCs w:val="32"/>
        </w:rPr>
        <w:t>分</w:t>
      </w:r>
      <w:r>
        <w:rPr>
          <w:rFonts w:hint="eastAsia" w:ascii="仿宋" w:hAnsi="仿宋" w:eastAsia="仿宋" w:cs="仿宋"/>
          <w:color w:val="auto"/>
          <w:kern w:val="0"/>
          <w:sz w:val="32"/>
          <w:szCs w:val="32"/>
          <w:lang w:val="en-US" w:eastAsia="zh-CN"/>
        </w:rPr>
        <w:t>83</w:t>
      </w:r>
      <w:r>
        <w:rPr>
          <w:rFonts w:hint="eastAsia" w:ascii="仿宋" w:hAnsi="仿宋" w:eastAsia="仿宋" w:cs="仿宋"/>
          <w:color w:val="auto"/>
          <w:kern w:val="0"/>
          <w:sz w:val="32"/>
          <w:szCs w:val="32"/>
        </w:rPr>
        <w:t>分，评价等级为</w:t>
      </w:r>
      <w:r>
        <w:rPr>
          <w:rFonts w:hint="eastAsia" w:ascii="仿宋" w:hAnsi="仿宋" w:eastAsia="仿宋" w:cs="仿宋"/>
          <w:color w:val="auto"/>
          <w:kern w:val="0"/>
          <w:sz w:val="32"/>
          <w:szCs w:val="32"/>
          <w:lang w:eastAsia="zh-CN"/>
        </w:rPr>
        <w:t>良</w:t>
      </w:r>
      <w:r>
        <w:rPr>
          <w:rFonts w:hint="eastAsia" w:ascii="仿宋" w:hAnsi="仿宋" w:eastAsia="仿宋" w:cs="仿宋"/>
          <w:color w:val="auto"/>
          <w:kern w:val="0"/>
          <w:sz w:val="32"/>
          <w:szCs w:val="32"/>
        </w:rPr>
        <w:t>。</w:t>
      </w:r>
    </w:p>
    <w:tbl>
      <w:tblPr>
        <w:tblStyle w:val="10"/>
        <w:tblW w:w="8700" w:type="dxa"/>
        <w:jc w:val="center"/>
        <w:tblLayout w:type="fixed"/>
        <w:tblCellMar>
          <w:top w:w="0" w:type="dxa"/>
          <w:left w:w="0" w:type="dxa"/>
          <w:bottom w:w="0" w:type="dxa"/>
          <w:right w:w="0" w:type="dxa"/>
        </w:tblCellMar>
      </w:tblPr>
      <w:tblGrid>
        <w:gridCol w:w="1422"/>
        <w:gridCol w:w="1816"/>
        <w:gridCol w:w="1816"/>
        <w:gridCol w:w="1816"/>
        <w:gridCol w:w="1830"/>
      </w:tblGrid>
      <w:tr>
        <w:tblPrEx>
          <w:tblCellMar>
            <w:top w:w="0" w:type="dxa"/>
            <w:left w:w="0" w:type="dxa"/>
            <w:bottom w:w="0" w:type="dxa"/>
            <w:right w:w="0" w:type="dxa"/>
          </w:tblCellMar>
        </w:tblPrEx>
        <w:trPr>
          <w:trHeight w:val="498" w:hRule="atLeast"/>
          <w:jc w:val="center"/>
        </w:trPr>
        <w:tc>
          <w:tcPr>
            <w:tcW w:w="8700"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rPr>
            </w:pPr>
            <w:r>
              <w:rPr>
                <w:rFonts w:hint="eastAsia" w:ascii="仿宋" w:hAnsi="仿宋" w:eastAsia="仿宋" w:cs="仿宋"/>
                <w:i w:val="0"/>
                <w:color w:val="auto"/>
                <w:kern w:val="0"/>
                <w:sz w:val="32"/>
                <w:szCs w:val="32"/>
                <w:u w:val="none"/>
                <w:lang w:val="en-US" w:eastAsia="zh-CN" w:bidi="ar"/>
              </w:rPr>
              <w:t>评价分数和等级</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标准分数</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评价得分</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等级</w:t>
            </w:r>
          </w:p>
        </w:tc>
      </w:tr>
      <w:tr>
        <w:tblPrEx>
          <w:tblCellMar>
            <w:top w:w="0" w:type="dxa"/>
            <w:left w:w="0" w:type="dxa"/>
            <w:bottom w:w="0" w:type="dxa"/>
            <w:right w:w="0" w:type="dxa"/>
          </w:tblCellMar>
        </w:tblPrEx>
        <w:trPr>
          <w:trHeight w:val="677"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决策</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16</w:t>
            </w:r>
          </w:p>
        </w:tc>
        <w:tc>
          <w:tcPr>
            <w:tcW w:w="18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良</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过程</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17</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产出</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22</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效益</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28</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611"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100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83</w:t>
            </w:r>
          </w:p>
        </w:tc>
        <w:tc>
          <w:tcPr>
            <w:tcW w:w="18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auto"/>
                <w:sz w:val="32"/>
                <w:szCs w:val="32"/>
                <w:u w:val="none"/>
              </w:rPr>
            </w:pPr>
          </w:p>
        </w:tc>
      </w:tr>
    </w:tbl>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8"/>
          <w:szCs w:val="28"/>
        </w:rPr>
      </w:pPr>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二、项目绩效完成情况分析</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kern w:val="0"/>
          <w:sz w:val="32"/>
          <w:szCs w:val="32"/>
          <w:lang w:eastAsia="zh-CN"/>
        </w:rPr>
        <w:t>根据嘉鱼县住建局《关于嘉鱼县三湖连江沿湖景观工程项目申请立项的函》（嘉建文【</w:t>
      </w:r>
      <w:r>
        <w:rPr>
          <w:rFonts w:hint="eastAsia" w:ascii="仿宋" w:hAnsi="仿宋" w:eastAsia="仿宋" w:cs="仿宋"/>
          <w:kern w:val="0"/>
          <w:sz w:val="32"/>
          <w:szCs w:val="32"/>
          <w:lang w:val="en-US" w:eastAsia="zh-CN"/>
        </w:rPr>
        <w:t>2017】10号）申请，县</w:t>
      </w:r>
      <w:r>
        <w:rPr>
          <w:rFonts w:hint="eastAsia" w:ascii="仿宋" w:hAnsi="仿宋" w:eastAsia="仿宋" w:cs="仿宋"/>
          <w:kern w:val="0"/>
          <w:sz w:val="32"/>
          <w:szCs w:val="32"/>
          <w:lang w:eastAsia="zh-CN"/>
        </w:rPr>
        <w:t>发改委签发《嘉鱼县发展和改革局关于三湖连江沿湖景观工程项目建议书的批复》（嘉发改审批【</w:t>
      </w:r>
      <w:r>
        <w:rPr>
          <w:rFonts w:hint="eastAsia" w:ascii="仿宋" w:hAnsi="仿宋" w:eastAsia="仿宋" w:cs="仿宋"/>
          <w:kern w:val="0"/>
          <w:sz w:val="32"/>
          <w:szCs w:val="32"/>
          <w:lang w:val="en-US" w:eastAsia="zh-CN"/>
        </w:rPr>
        <w:t>2017】31号）文件对该项目予以批复同意。根据批复意见，项目前期完成了施工图设计、工程预算、财评和招标等工作，并于2018年1月16日正式动工，完成了包括水上观光栈道、沿湖绿道、城市阳台景观以及环湖道路等建设工作，于2018年10月10日竣工。</w:t>
      </w:r>
    </w:p>
    <w:p>
      <w:pPr>
        <w:spacing w:line="480" w:lineRule="auto"/>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项目的立项基本规范，进行了绩效目标申报，预算编制依据充分，资金分配较合理。</w:t>
      </w:r>
    </w:p>
    <w:p>
      <w:pPr>
        <w:spacing w:line="480" w:lineRule="auto"/>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项目过程中对工程质量、施工安全、建设材料质量等进行了严格把控。工作中各项申报、审批、建设手续流程合法合规，建设资金使用规范。</w:t>
      </w:r>
    </w:p>
    <w:p>
      <w:pPr>
        <w:numPr>
          <w:ilvl w:val="0"/>
          <w:numId w:val="0"/>
        </w:numPr>
        <w:spacing w:before="0" w:after="0" w:line="360" w:lineRule="auto"/>
        <w:ind w:firstLine="640" w:firstLineChars="200"/>
        <w:outlineLvl w:val="9"/>
        <w:rPr>
          <w:rFonts w:hint="eastAsia" w:ascii="仿宋" w:hAnsi="仿宋" w:eastAsia="仿宋" w:cs="仿宋"/>
          <w:b w:val="0"/>
          <w:bCs w:val="0"/>
          <w:color w:val="auto"/>
          <w:kern w:val="2"/>
          <w:sz w:val="32"/>
          <w:szCs w:val="32"/>
          <w:lang w:val="en-US" w:eastAsia="zh-CN" w:bidi="ar-SA"/>
        </w:rPr>
      </w:pPr>
      <w:bookmarkStart w:id="7" w:name="_Toc28954"/>
      <w:bookmarkStart w:id="8" w:name="_Toc6685_WPSOffice_Level2"/>
      <w:r>
        <w:rPr>
          <w:rFonts w:hint="eastAsia" w:ascii="仿宋" w:hAnsi="仿宋" w:eastAsia="仿宋" w:cs="仿宋"/>
          <w:b w:val="0"/>
          <w:bCs w:val="0"/>
          <w:color w:val="auto"/>
          <w:kern w:val="2"/>
          <w:sz w:val="32"/>
          <w:szCs w:val="32"/>
          <w:lang w:val="en-US" w:eastAsia="zh-CN" w:bidi="ar-SA"/>
        </w:rPr>
        <w:t>项目</w:t>
      </w:r>
      <w:bookmarkEnd w:id="7"/>
      <w:bookmarkEnd w:id="8"/>
      <w:r>
        <w:rPr>
          <w:rFonts w:hint="eastAsia" w:ascii="仿宋" w:hAnsi="仿宋" w:eastAsia="仿宋" w:cs="仿宋"/>
          <w:b w:val="0"/>
          <w:bCs w:val="0"/>
          <w:color w:val="auto"/>
          <w:kern w:val="2"/>
          <w:sz w:val="32"/>
          <w:szCs w:val="32"/>
          <w:lang w:val="en-US" w:eastAsia="zh-CN" w:bidi="ar-SA"/>
        </w:rPr>
        <w:t>产出方面：已全面完成</w:t>
      </w:r>
      <w:r>
        <w:rPr>
          <w:rFonts w:hint="eastAsia" w:ascii="仿宋" w:hAnsi="仿宋" w:eastAsia="仿宋" w:cs="仿宋"/>
          <w:kern w:val="0"/>
          <w:sz w:val="32"/>
          <w:szCs w:val="32"/>
          <w:lang w:val="en-US" w:eastAsia="zh-CN"/>
        </w:rPr>
        <w:t>水上观光栈道、沿湖绿道、城市阳台景观以及环湖道路等建设工作</w:t>
      </w:r>
      <w:r>
        <w:rPr>
          <w:rFonts w:hint="eastAsia" w:ascii="仿宋" w:hAnsi="仿宋" w:eastAsia="仿宋" w:cs="仿宋"/>
          <w:b w:val="0"/>
          <w:bCs w:val="0"/>
          <w:color w:val="auto"/>
          <w:kern w:val="2"/>
          <w:sz w:val="32"/>
          <w:szCs w:val="32"/>
          <w:lang w:val="en-US" w:eastAsia="zh-CN" w:bidi="ar-SA"/>
        </w:rPr>
        <w:t>。项目全长2.8千米（含400米环湖路）。</w:t>
      </w:r>
    </w:p>
    <w:p>
      <w:pPr>
        <w:numPr>
          <w:ilvl w:val="0"/>
          <w:numId w:val="0"/>
        </w:numPr>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项目效益方面：完成了既定的社会效益目标和可持续影响目标。</w:t>
      </w:r>
    </w:p>
    <w:p>
      <w:pPr>
        <w:numPr>
          <w:ilvl w:val="0"/>
          <w:numId w:val="0"/>
        </w:numPr>
        <w:spacing w:before="0" w:after="0" w:line="360" w:lineRule="auto"/>
        <w:ind w:firstLine="640" w:firstLineChars="200"/>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三、存在的主要问题</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
          <w:sz w:val="32"/>
          <w:szCs w:val="32"/>
          <w:lang w:val="en-US" w:eastAsia="zh-CN"/>
        </w:rPr>
        <w:t>1、由于项目建设前期未周全考虑到大型水库施工以及大坝安全要求，未能向水利部门提供防洪影响评价、大坝安全鉴定、水土保持生态报告等申报资料。导致动工后又按三湖连江水库管理处意见进行停工整改。整个工期从计划的2018年4月16日延至2018年10月10日。</w:t>
      </w:r>
    </w:p>
    <w:p>
      <w:pPr>
        <w:numPr>
          <w:ilvl w:val="0"/>
          <w:numId w:val="0"/>
        </w:numPr>
        <w:spacing w:before="0" w:after="0" w:line="360" w:lineRule="auto"/>
        <w:ind w:firstLine="640" w:firstLineChars="200"/>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根据三湖连江水库管理处的整改意见，县住建局委托中国电建集团昆明勘测设计研究院对景观工程给大坝造成的安全影响进行了分析评价，根据评价意见，项目组重新修改了项目设计方案，项目总造价也较前期的预算有了较大幅度的上涨。</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3、项目于2018年10月10日已完工，但由于审计局在竣工决算审计中审减的金额较大，施工方对此有异议，双方未就审减金额达成一致意见，导致至今竣工决算审计结果仍未出正式报告。</w:t>
      </w:r>
    </w:p>
    <w:p>
      <w:pPr>
        <w:spacing w:line="480" w:lineRule="auto"/>
        <w:ind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四、结果应用建议</w:t>
      </w:r>
    </w:p>
    <w:p>
      <w:pPr>
        <w:pStyle w:val="9"/>
        <w:keepNext w:val="0"/>
        <w:keepLines w:val="0"/>
        <w:widowControl/>
        <w:suppressLineNumbers w:val="0"/>
        <w:spacing w:line="360"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_GB2312"/>
          <w:kern w:val="2"/>
          <w:sz w:val="32"/>
          <w:szCs w:val="32"/>
          <w:lang w:val="en-US" w:eastAsia="zh-CN" w:bidi="ar-SA"/>
        </w:rPr>
        <w:t>在开展城市更新、基础设施改造提升等工作时，要正确处理好新与旧、改与留的关系，从统筹做好保护与更新的角度出发，充分论证项目可行性。对确实需要实施的建设项目，要严格按照有关规定办理审批手续，提前公示建设（改造）方案，征求公众意见，自觉接受社会及相关单位监督，确保将城市改造和建设工作落到实处。</w:t>
      </w:r>
    </w:p>
    <w:p>
      <w:pPr>
        <w:spacing w:line="480" w:lineRule="auto"/>
        <w:ind w:firstLine="640" w:firstLineChars="200"/>
        <w:outlineLvl w:val="9"/>
        <w:rPr>
          <w:rFonts w:hint="eastAsia" w:ascii="黑体" w:hAnsi="黑体" w:eastAsia="黑体" w:cs="黑体"/>
          <w:b/>
          <w:bCs/>
          <w:sz w:val="32"/>
          <w:szCs w:val="32"/>
          <w:lang w:eastAsia="zh-CN"/>
        </w:rPr>
      </w:pPr>
      <w:r>
        <w:rPr>
          <w:rFonts w:hint="eastAsia" w:ascii="仿宋" w:hAnsi="仿宋" w:eastAsia="仿宋" w:cs="仿宋"/>
          <w:color w:val="auto"/>
          <w:sz w:val="32"/>
          <w:szCs w:val="32"/>
          <w:lang w:val="en-US" w:eastAsia="zh-CN"/>
        </w:rPr>
        <w:t>2、协助施工方尽快完成竣工决算审计工作。</w:t>
      </w:r>
    </w:p>
    <w:p>
      <w:pPr>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eastAsia="zh-CN"/>
        </w:rPr>
        <w:sectPr>
          <w:pgSz w:w="11906" w:h="16838"/>
          <w:pgMar w:top="1440" w:right="1463" w:bottom="1440" w:left="1463" w:header="851" w:footer="992" w:gutter="0"/>
          <w:pgNumType w:fmt="decimal"/>
          <w:cols w:space="720" w:num="1"/>
          <w:docGrid w:type="lines" w:linePitch="312" w:charSpace="0"/>
        </w:sect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sz w:val="32"/>
          <w:szCs w:val="32"/>
          <w:lang w:eastAsia="zh-CN"/>
        </w:rPr>
      </w:pPr>
      <w:bookmarkStart w:id="9" w:name="_Toc24425"/>
      <w:r>
        <w:rPr>
          <w:rFonts w:hint="eastAsia" w:ascii="黑体" w:hAnsi="黑体" w:eastAsia="黑体" w:cs="黑体"/>
          <w:b/>
          <w:bCs/>
          <w:sz w:val="32"/>
          <w:szCs w:val="32"/>
          <w:lang w:eastAsia="zh-CN"/>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佐证材料</w:t>
      </w:r>
      <w:bookmarkEnd w:id="9"/>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10" w:name="_Toc403468094"/>
      <w:bookmarkStart w:id="11" w:name="_Toc18439_WPSOffice_Level1"/>
      <w:bookmarkStart w:id="12" w:name="_Toc7075"/>
      <w:bookmarkStart w:id="13" w:name="_Toc404245502"/>
      <w:bookmarkStart w:id="14" w:name="_Toc397088307"/>
      <w:bookmarkStart w:id="15" w:name="_Toc614"/>
      <w:r>
        <w:rPr>
          <w:rFonts w:hint="eastAsia" w:ascii="黑体" w:hAnsi="黑体" w:eastAsia="黑体" w:cs="黑体"/>
          <w:b w:val="0"/>
          <w:bCs w:val="0"/>
          <w:sz w:val="32"/>
          <w:szCs w:val="32"/>
          <w:lang w:val="en-US" w:eastAsia="zh-CN"/>
        </w:rPr>
        <w:t>一、基本情况</w:t>
      </w:r>
      <w:bookmarkEnd w:id="10"/>
      <w:bookmarkEnd w:id="11"/>
      <w:bookmarkEnd w:id="12"/>
      <w:bookmarkEnd w:id="13"/>
      <w:bookmarkEnd w:id="14"/>
      <w:bookmarkEnd w:id="15"/>
      <w:bookmarkStart w:id="16" w:name="_Toc403468096"/>
      <w:bookmarkStart w:id="17" w:name="_Toc404245504"/>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18" w:name="_Toc4209_WPSOffice_Level2"/>
      <w:bookmarkStart w:id="19" w:name="_Toc22540"/>
      <w:bookmarkStart w:id="20" w:name="_Toc10387"/>
      <w:r>
        <w:rPr>
          <w:rFonts w:hint="eastAsia" w:ascii="楷体" w:hAnsi="楷体" w:eastAsia="楷体" w:cs="楷体"/>
          <w:b w:val="0"/>
          <w:bCs w:val="0"/>
          <w:sz w:val="32"/>
          <w:szCs w:val="32"/>
          <w:lang w:val="en-US" w:eastAsia="zh-CN"/>
        </w:rPr>
        <w:t>（一）项目立项</w:t>
      </w:r>
      <w:bookmarkEnd w:id="16"/>
      <w:bookmarkEnd w:id="17"/>
      <w:r>
        <w:rPr>
          <w:rFonts w:hint="eastAsia" w:ascii="楷体" w:hAnsi="楷体" w:eastAsia="楷体" w:cs="楷体"/>
          <w:b w:val="0"/>
          <w:bCs w:val="0"/>
          <w:sz w:val="32"/>
          <w:szCs w:val="32"/>
          <w:lang w:val="en-US" w:eastAsia="zh-CN"/>
        </w:rPr>
        <w:t>目的和年度绩效目标</w:t>
      </w:r>
      <w:bookmarkEnd w:id="18"/>
      <w:bookmarkEnd w:id="19"/>
      <w:bookmarkEnd w:id="20"/>
    </w:p>
    <w:p>
      <w:pPr>
        <w:rPr>
          <w:rFonts w:hint="eastAsia" w:ascii="仿宋" w:hAnsi="仿宋" w:eastAsia="仿宋" w:cs="仿宋"/>
          <w:sz w:val="32"/>
          <w:szCs w:val="32"/>
          <w:lang w:val="en-US" w:eastAsia="zh-CN"/>
        </w:rPr>
      </w:pPr>
      <w:r>
        <w:rPr>
          <w:rFonts w:hint="eastAsia" w:ascii="仿宋" w:hAnsi="仿宋" w:cs="仿宋"/>
          <w:b w:val="0"/>
          <w:bCs w:val="0"/>
          <w:sz w:val="28"/>
          <w:szCs w:val="28"/>
          <w:lang w:val="en-US" w:eastAsia="zh-CN"/>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32"/>
          <w:szCs w:val="32"/>
          <w:lang w:val="en-US" w:eastAsia="zh-CN"/>
        </w:rPr>
        <w:t>1、项目立项背景</w:t>
      </w:r>
    </w:p>
    <w:p>
      <w:pPr>
        <w:spacing w:line="480" w:lineRule="auto"/>
        <w:ind w:firstLine="640" w:firstLineChars="200"/>
        <w:rPr>
          <w:rFonts w:hint="default" w:ascii="仿宋" w:hAnsi="仿宋" w:eastAsia="仿宋" w:cs="仿宋"/>
          <w:color w:val="auto"/>
          <w:sz w:val="32"/>
          <w:szCs w:val="32"/>
          <w:lang w:val="en-US" w:eastAsia="zh-CN"/>
        </w:rPr>
      </w:pPr>
      <w:bookmarkStart w:id="21" w:name="_Toc11990"/>
      <w:bookmarkStart w:id="22" w:name="_Toc5320_WPSOffice_Level2"/>
      <w:bookmarkStart w:id="23" w:name="_Toc404245506"/>
      <w:r>
        <w:rPr>
          <w:rFonts w:hint="eastAsia" w:ascii="仿宋" w:hAnsi="仿宋" w:eastAsia="仿宋" w:cs="仿宋"/>
          <w:color w:val="auto"/>
          <w:sz w:val="32"/>
          <w:szCs w:val="32"/>
          <w:lang w:val="en-US" w:eastAsia="zh-CN"/>
        </w:rPr>
        <w:t>为推进实施嘉鱼县大旅游、大开发战略，打造“三湖连江”城市名片，盘活旅游资源，促进嘉鱼县经济和社会发展，经县政府专题会议研究决定，拟建嘉鱼县三湖连江沿湖景观工程项目。</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2、项目绩效目标</w:t>
      </w:r>
    </w:p>
    <w:p>
      <w:pPr>
        <w:spacing w:line="48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建设内容包括水上观光栈道、沿湖绿道、城市阳台景观以及环湖道路建设等。全长约2.8公里（含400米环湖路），利用梅懈湖景观资源，重点打造特色滨水绿道、基础设施配套、文化休闲体系，与二乔公园、环湖公园等现有景观连通并形成呼应。项目位于嘉鱼县鱼岳镇三湖连江水库梅懈湖西侧，北起沿湖大道，南至白湖桥。。</w:t>
      </w:r>
    </w:p>
    <w:p>
      <w:pPr>
        <w:spacing w:line="480" w:lineRule="auto"/>
        <w:ind w:firstLine="640" w:firstLineChars="200"/>
        <w:outlineLvl w:val="2"/>
        <w:rPr>
          <w:rFonts w:hint="eastAsia" w:ascii="楷体" w:hAnsi="楷体" w:eastAsia="楷体" w:cs="楷体"/>
          <w:color w:val="auto"/>
          <w:sz w:val="32"/>
          <w:szCs w:val="32"/>
          <w:lang w:val="en-US" w:eastAsia="zh-CN"/>
        </w:rPr>
      </w:pPr>
      <w:bookmarkStart w:id="24" w:name="_Toc10321"/>
      <w:r>
        <w:rPr>
          <w:rFonts w:hint="eastAsia" w:ascii="楷体" w:hAnsi="楷体" w:eastAsia="楷体" w:cs="楷体"/>
          <w:color w:val="auto"/>
          <w:sz w:val="32"/>
          <w:szCs w:val="32"/>
          <w:lang w:val="en-US" w:eastAsia="zh-CN"/>
        </w:rPr>
        <w:t>（二）项目资金情况</w:t>
      </w:r>
      <w:bookmarkEnd w:id="21"/>
      <w:bookmarkEnd w:id="22"/>
      <w:bookmarkEnd w:id="24"/>
      <w:r>
        <w:rPr>
          <w:rFonts w:hint="eastAsia" w:ascii="楷体" w:hAnsi="楷体" w:eastAsia="楷体" w:cs="楷体"/>
          <w:color w:val="auto"/>
          <w:sz w:val="32"/>
          <w:szCs w:val="32"/>
          <w:lang w:val="en-US" w:eastAsia="zh-CN"/>
        </w:rPr>
        <w:t xml:space="preserve"> </w:t>
      </w:r>
    </w:p>
    <w:bookmarkEnd w:id="23"/>
    <w:p>
      <w:pPr>
        <w:spacing w:line="480" w:lineRule="auto"/>
        <w:ind w:firstLine="640" w:firstLineChars="200"/>
        <w:rPr>
          <w:rFonts w:hint="eastAsia" w:ascii="仿宋" w:hAnsi="仿宋" w:eastAsia="仿宋" w:cs="仿宋"/>
          <w:color w:val="auto"/>
          <w:sz w:val="32"/>
          <w:szCs w:val="32"/>
          <w:lang w:val="en-US" w:eastAsia="zh-CN"/>
        </w:rPr>
      </w:pPr>
      <w:bookmarkStart w:id="25" w:name="_Toc22556"/>
      <w:r>
        <w:rPr>
          <w:rFonts w:hint="eastAsia" w:ascii="仿宋" w:hAnsi="仿宋" w:eastAsia="仿宋" w:cs="仿宋"/>
          <w:color w:val="auto"/>
          <w:sz w:val="32"/>
          <w:szCs w:val="32"/>
          <w:lang w:val="en-US" w:eastAsia="zh-CN"/>
        </w:rPr>
        <w:t>本项目资金为县政府统筹安排，预算金额为1743万元。根据工程进度，县财政局已拨付住建局1666万元，住建局支付施工方工程款1386万元。财政尚余77万工程款未拨付，住建局账上有280万元的结余</w:t>
      </w:r>
      <w:r>
        <w:rPr>
          <w:rFonts w:hint="eastAsia" w:ascii="仿宋" w:hAnsi="仿宋" w:eastAsia="仿宋" w:cs="仿宋"/>
          <w:color w:val="auto"/>
          <w:sz w:val="32"/>
          <w:szCs w:val="32"/>
          <w:lang w:val="en-US" w:eastAsia="zh-CN"/>
        </w:rPr>
        <w:t>。具体资金拨付情况如下表所示：</w:t>
      </w:r>
      <w:bookmarkEnd w:id="25"/>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p>
      <w:pPr>
        <w:spacing w:line="480" w:lineRule="auto"/>
        <w:ind w:firstLine="640" w:firstLineChars="200"/>
        <w:rPr>
          <w:rFonts w:hint="eastAsia" w:ascii="仿宋" w:hAnsi="仿宋" w:eastAsia="仿宋" w:cs="仿宋"/>
          <w:color w:val="auto"/>
          <w:sz w:val="32"/>
          <w:szCs w:val="32"/>
          <w:lang w:val="en-US" w:eastAsia="zh-CN"/>
        </w:rPr>
      </w:pPr>
    </w:p>
    <w:tbl>
      <w:tblPr>
        <w:tblStyle w:val="10"/>
        <w:tblW w:w="9465" w:type="dxa"/>
        <w:tblInd w:w="0" w:type="dxa"/>
        <w:shd w:val="clear" w:color="auto" w:fill="auto"/>
        <w:tblLayout w:type="fixed"/>
        <w:tblCellMar>
          <w:top w:w="0" w:type="dxa"/>
          <w:left w:w="0" w:type="dxa"/>
          <w:bottom w:w="0" w:type="dxa"/>
          <w:right w:w="0" w:type="dxa"/>
        </w:tblCellMar>
      </w:tblPr>
      <w:tblGrid>
        <w:gridCol w:w="1080"/>
        <w:gridCol w:w="1126"/>
        <w:gridCol w:w="1179"/>
        <w:gridCol w:w="1318"/>
        <w:gridCol w:w="943"/>
        <w:gridCol w:w="793"/>
        <w:gridCol w:w="3026"/>
      </w:tblGrid>
      <w:tr>
        <w:tblPrEx>
          <w:shd w:val="clear" w:color="auto" w:fill="auto"/>
          <w:tblCellMar>
            <w:top w:w="0" w:type="dxa"/>
            <w:left w:w="0" w:type="dxa"/>
            <w:bottom w:w="0" w:type="dxa"/>
            <w:right w:w="0" w:type="dxa"/>
          </w:tblCellMar>
        </w:tblPrEx>
        <w:trPr>
          <w:trHeight w:val="560" w:hRule="atLeast"/>
        </w:trPr>
        <w:tc>
          <w:tcPr>
            <w:tcW w:w="946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kern w:val="0"/>
                <w:sz w:val="28"/>
                <w:szCs w:val="28"/>
                <w:u w:val="none"/>
                <w:lang w:val="en-US" w:eastAsia="zh-CN" w:bidi="ar"/>
              </w:rPr>
              <w:t>三湖连江沿湖景观工程资金收支结余情况表</w:t>
            </w:r>
            <w:r>
              <w:rPr>
                <w:rFonts w:hint="eastAsia" w:ascii="宋体" w:hAnsi="宋体" w:cs="宋体"/>
                <w:b/>
                <w:i w:val="0"/>
                <w:color w:val="000000"/>
                <w:kern w:val="0"/>
                <w:sz w:val="28"/>
                <w:szCs w:val="28"/>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资金性质</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财政预算</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（合同价）</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收财政拨款</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支付工程款</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住建局账上结余</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财政预算结余</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4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县级资金</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预付款</w:t>
            </w:r>
          </w:p>
        </w:tc>
      </w:tr>
      <w:tr>
        <w:tblPrEx>
          <w:shd w:val="clear" w:color="auto" w:fill="auto"/>
          <w:tblCellMar>
            <w:top w:w="0" w:type="dxa"/>
            <w:left w:w="0" w:type="dxa"/>
            <w:bottom w:w="0" w:type="dxa"/>
            <w:right w:w="0"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预付款</w:t>
            </w:r>
          </w:p>
        </w:tc>
      </w:tr>
      <w:tr>
        <w:tblPrEx>
          <w:tblCellMar>
            <w:top w:w="0" w:type="dxa"/>
            <w:left w:w="0" w:type="dxa"/>
            <w:bottom w:w="0" w:type="dxa"/>
            <w:right w:w="0" w:type="dxa"/>
          </w:tblCellMar>
        </w:tblPrEx>
        <w:trPr>
          <w:trHeight w:val="41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工程进度款</w:t>
            </w:r>
          </w:p>
        </w:tc>
      </w:tr>
      <w:tr>
        <w:tblPrEx>
          <w:shd w:val="clear" w:color="auto" w:fill="auto"/>
          <w:tblCellMar>
            <w:top w:w="0" w:type="dxa"/>
            <w:left w:w="0" w:type="dxa"/>
            <w:bottom w:w="0" w:type="dxa"/>
            <w:right w:w="0" w:type="dxa"/>
          </w:tblCellMar>
        </w:tblPrEx>
        <w:trPr>
          <w:trHeight w:val="34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工程进度款</w:t>
            </w:r>
          </w:p>
        </w:tc>
      </w:tr>
      <w:tr>
        <w:tblPrEx>
          <w:tblCellMar>
            <w:top w:w="0" w:type="dxa"/>
            <w:left w:w="0" w:type="dxa"/>
            <w:bottom w:w="0" w:type="dxa"/>
            <w:right w:w="0" w:type="dxa"/>
          </w:tblCellMar>
        </w:tblPrEx>
        <w:trPr>
          <w:trHeight w:val="65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1743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w:t>
            </w:r>
          </w:p>
        </w:tc>
        <w:tc>
          <w:tcPr>
            <w:tcW w:w="3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财政尚余77万工程款未拨付，且住建局账上有280万元的结余。</w:t>
            </w:r>
          </w:p>
        </w:tc>
      </w:tr>
    </w:tbl>
    <w:p>
      <w:pPr>
        <w:pStyle w:val="3"/>
        <w:numPr>
          <w:ilvl w:val="0"/>
          <w:numId w:val="0"/>
        </w:numPr>
        <w:tabs>
          <w:tab w:val="left" w:pos="6178"/>
        </w:tabs>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26" w:name="_Toc22191_WPSOffice_Level1"/>
      <w:bookmarkStart w:id="27" w:name="_Toc29791"/>
      <w:bookmarkStart w:id="28" w:name="_Toc13115"/>
      <w:r>
        <w:rPr>
          <w:rFonts w:hint="eastAsia" w:ascii="黑体" w:hAnsi="黑体" w:eastAsia="黑体" w:cs="黑体"/>
          <w:b w:val="0"/>
          <w:bCs w:val="0"/>
          <w:sz w:val="32"/>
          <w:szCs w:val="32"/>
          <w:lang w:val="en-US" w:eastAsia="zh-CN"/>
        </w:rPr>
        <w:t>二、绩效评价工作开展情况</w:t>
      </w:r>
      <w:bookmarkEnd w:id="26"/>
      <w:bookmarkEnd w:id="27"/>
      <w:bookmarkEnd w:id="28"/>
      <w:r>
        <w:rPr>
          <w:rFonts w:hint="eastAsia" w:ascii="黑体" w:hAnsi="黑体" w:eastAsia="黑体" w:cs="黑体"/>
          <w:b w:val="0"/>
          <w:bCs w:val="0"/>
          <w:sz w:val="32"/>
          <w:szCs w:val="32"/>
          <w:lang w:val="en-US" w:eastAsia="zh-CN"/>
        </w:rPr>
        <w:tab/>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29" w:name="_Toc11554_WPSOffice_Level2"/>
      <w:bookmarkStart w:id="30" w:name="_Toc30229"/>
      <w:bookmarkStart w:id="31" w:name="_Toc4411"/>
      <w:r>
        <w:rPr>
          <w:rFonts w:hint="eastAsia" w:ascii="楷体" w:hAnsi="楷体" w:eastAsia="楷体" w:cs="楷体"/>
          <w:b w:val="0"/>
          <w:bCs w:val="0"/>
          <w:sz w:val="32"/>
          <w:szCs w:val="32"/>
          <w:lang w:val="en-US" w:eastAsia="zh-CN"/>
        </w:rPr>
        <w:t>（一）评价目的</w:t>
      </w:r>
      <w:bookmarkEnd w:id="29"/>
      <w:bookmarkEnd w:id="30"/>
      <w:bookmarkEnd w:id="31"/>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根据财政部《项目支出绩效评价管理办法》（财预[2020]10号）</w:t>
      </w:r>
      <w:r>
        <w:rPr>
          <w:rFonts w:hint="eastAsia" w:ascii="仿宋" w:hAnsi="仿宋" w:eastAsia="仿宋" w:cs="仿宋"/>
          <w:color w:val="auto"/>
          <w:sz w:val="32"/>
          <w:szCs w:val="32"/>
        </w:rPr>
        <w:t>等文件的规定和要求，</w:t>
      </w:r>
      <w:r>
        <w:rPr>
          <w:rFonts w:hint="eastAsia" w:ascii="仿宋" w:hAnsi="仿宋" w:eastAsia="仿宋" w:cs="仿宋"/>
          <w:color w:val="auto"/>
          <w:sz w:val="32"/>
          <w:szCs w:val="32"/>
          <w:lang w:val="en-US" w:eastAsia="zh-CN"/>
        </w:rPr>
        <w:t>通过本次绩效评价，全面了解、分析</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使用、管理等情况，提出进一步加强</w:t>
      </w:r>
      <w:r>
        <w:rPr>
          <w:rFonts w:hint="eastAsia" w:ascii="仿宋" w:hAnsi="仿宋" w:eastAsia="仿宋" w:cs="仿宋"/>
          <w:sz w:val="32"/>
          <w:szCs w:val="32"/>
          <w:lang w:eastAsia="zh-CN"/>
        </w:rPr>
        <w:t>项目</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的使用和管理的建议及措施，促进</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有效使用，推进</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年度计划管理工作，提高财政资金使用效率。</w:t>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32" w:name="_Toc28836_WPSOffice_Level2"/>
      <w:bookmarkStart w:id="33" w:name="_Toc25454"/>
      <w:bookmarkStart w:id="34" w:name="_Toc4263"/>
      <w:r>
        <w:rPr>
          <w:rFonts w:hint="eastAsia" w:ascii="楷体" w:hAnsi="楷体" w:eastAsia="楷体" w:cs="楷体"/>
          <w:b w:val="0"/>
          <w:bCs w:val="0"/>
          <w:sz w:val="32"/>
          <w:szCs w:val="32"/>
          <w:lang w:val="en-US" w:eastAsia="zh-CN"/>
        </w:rPr>
        <w:t>（二）绩效评价框架</w:t>
      </w:r>
      <w:bookmarkEnd w:id="32"/>
      <w:bookmarkEnd w:id="33"/>
      <w:bookmarkEnd w:id="34"/>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32"/>
          <w:szCs w:val="32"/>
        </w:rPr>
        <w:t xml:space="preserve"> 1、评价指标体系</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绩效评价框架是开展绩效评价的核心。绩效评价框架包括评价准则，关键评价问题、评价指标、证据、证据来源、证据收集方法等。</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指标体系建立过程如下：</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确定评价指标</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确定权重</w:t>
      </w: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在绩效评价指标体系中，项目投入权重为0.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，项目过程权重值占0.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，项目产出权重值占0.</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，项目效益权重值占0.</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确定指标标准值</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Fonts w:hint="eastAsia" w:ascii="仿宋" w:hAnsi="仿宋" w:eastAsia="仿宋" w:cs="仿宋"/>
          <w:kern w:val="0"/>
          <w:sz w:val="32"/>
          <w:szCs w:val="32"/>
          <w:lang w:eastAsia="zh-CN"/>
        </w:rPr>
        <w:t>。</w:t>
      </w:r>
    </w:p>
    <w:p>
      <w:pPr>
        <w:pStyle w:val="4"/>
        <w:numPr>
          <w:ilvl w:val="0"/>
          <w:numId w:val="0"/>
        </w:numPr>
        <w:spacing w:before="0" w:after="0" w:line="360" w:lineRule="auto"/>
        <w:ind w:firstLine="640" w:firstLineChars="200"/>
        <w:outlineLvl w:val="2"/>
        <w:rPr>
          <w:rFonts w:hint="eastAsia" w:ascii="楷体" w:hAnsi="楷体" w:eastAsia="楷体" w:cs="楷体"/>
          <w:b w:val="0"/>
          <w:bCs w:val="0"/>
          <w:sz w:val="32"/>
          <w:szCs w:val="32"/>
          <w:lang w:val="en-US" w:eastAsia="zh-CN"/>
        </w:rPr>
      </w:pPr>
      <w:bookmarkStart w:id="35" w:name="_Toc12015"/>
      <w:bookmarkStart w:id="36" w:name="_Toc16934_WPSOffice_Level2"/>
      <w:bookmarkStart w:id="37" w:name="_Toc18902"/>
      <w:r>
        <w:rPr>
          <w:rFonts w:hint="eastAsia" w:ascii="楷体" w:hAnsi="楷体" w:eastAsia="楷体" w:cs="楷体"/>
          <w:b w:val="0"/>
          <w:bCs w:val="0"/>
          <w:sz w:val="32"/>
          <w:szCs w:val="32"/>
          <w:lang w:val="en-US" w:eastAsia="zh-CN"/>
        </w:rPr>
        <w:t>（三）绩效评价过程</w:t>
      </w:r>
      <w:bookmarkEnd w:id="35"/>
      <w:bookmarkEnd w:id="36"/>
      <w:bookmarkEnd w:id="37"/>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1、前期准备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（1）查询相关资料，熟悉有关方面的国家政策、法律、法规。了解</w:t>
      </w:r>
      <w:r>
        <w:rPr>
          <w:rFonts w:hint="eastAsia" w:ascii="仿宋" w:hAnsi="仿宋" w:eastAsia="仿宋" w:cs="仿宋"/>
          <w:kern w:val="0"/>
          <w:sz w:val="32"/>
          <w:szCs w:val="32"/>
          <w:lang w:eastAsia="zh-CN"/>
        </w:rPr>
        <w:t>项目工作推进情况</w:t>
      </w:r>
      <w:r>
        <w:rPr>
          <w:rFonts w:hint="eastAsia" w:ascii="仿宋" w:hAnsi="仿宋" w:eastAsia="仿宋" w:cs="仿宋"/>
          <w:kern w:val="0"/>
          <w:sz w:val="32"/>
          <w:szCs w:val="32"/>
        </w:rPr>
        <w:t>，与有关部门联系了解项目的特点以及考核目的，并制定了项目财政资金绩效评价</w:t>
      </w:r>
      <w:r>
        <w:rPr>
          <w:rFonts w:hint="eastAsia" w:ascii="仿宋" w:hAnsi="仿宋" w:eastAsia="仿宋" w:cs="仿宋"/>
          <w:kern w:val="0"/>
          <w:sz w:val="32"/>
          <w:szCs w:val="32"/>
          <w:lang w:eastAsia="zh-CN"/>
        </w:rPr>
        <w:t>方案</w:t>
      </w:r>
      <w:r>
        <w:rPr>
          <w:rFonts w:hint="eastAsia" w:ascii="仿宋" w:hAnsi="仿宋" w:eastAsia="仿宋" w:cs="仿宋"/>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（2）初步了解考核项目的主要工作情况、管理体系。</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（3）查找相关文件，对照《关于全面推进财政支出绩效评价工作的意见》（财预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2011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270号文件）以及拟定的绩效评价访谈提纲和申报资料清单，制定初步的指标体系，为后期的调查和研究做好准备。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2、组织实施</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（1）听取被考评单位关于项目财政资金支出情况、财务管理状况、目标完成情况以及实施效果的介绍。</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（2）按照《</w:t>
      </w:r>
      <w:r>
        <w:rPr>
          <w:rFonts w:hint="eastAsia" w:ascii="仿宋" w:hAnsi="仿宋" w:eastAsia="仿宋" w:cs="仿宋"/>
          <w:sz w:val="32"/>
          <w:szCs w:val="32"/>
          <w:lang w:eastAsia="zh-CN"/>
        </w:rPr>
        <w:t>项目</w:t>
      </w:r>
      <w:r>
        <w:rPr>
          <w:rFonts w:hint="eastAsia" w:ascii="仿宋" w:hAnsi="仿宋" w:eastAsia="仿宋" w:cs="仿宋"/>
          <w:sz w:val="32"/>
          <w:szCs w:val="32"/>
        </w:rPr>
        <w:t>支出绩效评价管理暂行办法》（财预</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号）的相关规定，根据考评具体要求和制定的指标体系评价方法，形成详细资料清单及各类工作表格，修订完善指标体系。</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（3）收集相关资料。系统内资料，向项目实施单位提出资料清单，由实施单位提供；系统外资料，由项目工作组通过社会调查收集。</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（4）对收集的资料进行整理、分类、分析，提出补充资料。</w:t>
      </w:r>
    </w:p>
    <w:p>
      <w:pPr>
        <w:pageBreakBefore w:val="0"/>
        <w:kinsoku/>
        <w:wordWrap/>
        <w:overflowPunct/>
        <w:topLinePunct w:val="0"/>
        <w:autoSpaceDE/>
        <w:autoSpaceDN/>
        <w:bidi w:val="0"/>
        <w:adjustRightInd/>
        <w:snapToGrid/>
        <w:spacing w:line="360" w:lineRule="auto"/>
        <w:ind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（5）开展考评工作。根据项目实施单位对该项目的详细介绍；核实各种资料；召开各类访谈会；完成现场考评工作各类表格的填报工作。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3、分析评价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（1）根据现场考评工作获得的资料，对该项目进行定性、定量的评价，计算各种评价指标，完成评价各类工作表格的整理，根据统计资料分析该项目的实施效果。</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（2）根据评价指标体系与评标准，得出评价结论，撰写评价报告初稿。</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（3）将初稿发送给</w:t>
      </w:r>
      <w:r>
        <w:rPr>
          <w:rFonts w:hint="eastAsia" w:ascii="仿宋" w:hAnsi="仿宋" w:eastAsia="仿宋" w:cs="仿宋"/>
          <w:sz w:val="32"/>
          <w:szCs w:val="32"/>
          <w:lang w:eastAsia="zh-CN"/>
        </w:rPr>
        <w:t>嘉鱼县</w:t>
      </w:r>
      <w:r>
        <w:rPr>
          <w:rFonts w:hint="eastAsia" w:ascii="仿宋" w:hAnsi="仿宋" w:eastAsia="仿宋" w:cs="仿宋"/>
          <w:sz w:val="32"/>
          <w:szCs w:val="32"/>
        </w:rPr>
        <w:t>财政局与</w:t>
      </w:r>
      <w:r>
        <w:rPr>
          <w:rFonts w:hint="eastAsia" w:ascii="仿宋" w:hAnsi="仿宋" w:eastAsia="仿宋" w:cs="仿宋"/>
          <w:sz w:val="32"/>
          <w:szCs w:val="32"/>
          <w:lang w:eastAsia="zh-CN"/>
        </w:rPr>
        <w:t>住建局</w:t>
      </w:r>
      <w:r>
        <w:rPr>
          <w:rFonts w:hint="eastAsia" w:ascii="仿宋" w:hAnsi="仿宋" w:eastAsia="仿宋" w:cs="仿宋"/>
          <w:sz w:val="32"/>
          <w:szCs w:val="32"/>
        </w:rPr>
        <w:t>审阅，询问回复意见，根据反馈意见对评价报告初稿进行修改，最终完成评价报告并出具正式绩效评价报告。</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4、档案管理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对绩效评价工作资料进行管理，完善绩效评价工作底稿并归档。</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38" w:name="_Toc403468108"/>
      <w:bookmarkStart w:id="39" w:name="_Toc404245518"/>
      <w:bookmarkStart w:id="40" w:name="_Toc1508_WPSOffice_Level1"/>
      <w:bookmarkStart w:id="41" w:name="_Toc14789"/>
      <w:bookmarkStart w:id="42" w:name="_Toc12812"/>
      <w:bookmarkStart w:id="43" w:name="_Toc397088315"/>
      <w:r>
        <w:rPr>
          <w:rFonts w:hint="eastAsia" w:ascii="黑体" w:hAnsi="黑体" w:eastAsia="黑体" w:cs="黑体"/>
          <w:b w:val="0"/>
          <w:bCs w:val="0"/>
          <w:sz w:val="32"/>
          <w:szCs w:val="32"/>
          <w:lang w:val="en-US" w:eastAsia="zh-CN"/>
        </w:rPr>
        <w:t>三、</w:t>
      </w:r>
      <w:bookmarkEnd w:id="38"/>
      <w:bookmarkEnd w:id="39"/>
      <w:r>
        <w:rPr>
          <w:rFonts w:hint="eastAsia" w:ascii="黑体" w:hAnsi="黑体" w:eastAsia="黑体" w:cs="黑体"/>
          <w:b w:val="0"/>
          <w:bCs w:val="0"/>
          <w:sz w:val="32"/>
          <w:szCs w:val="32"/>
          <w:lang w:val="en-US" w:eastAsia="zh-CN"/>
        </w:rPr>
        <w:t>绩效指标完成情况分析</w:t>
      </w:r>
      <w:bookmarkEnd w:id="40"/>
      <w:bookmarkEnd w:id="41"/>
      <w:bookmarkEnd w:id="42"/>
    </w:p>
    <w:bookmarkEnd w:id="43"/>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44" w:name="_Toc404245520"/>
      <w:bookmarkStart w:id="45" w:name="_Toc403468110"/>
      <w:bookmarkStart w:id="46" w:name="_Toc13314"/>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项目</w:t>
      </w:r>
      <w:bookmarkEnd w:id="44"/>
      <w:bookmarkEnd w:id="45"/>
      <w:r>
        <w:rPr>
          <w:rFonts w:hint="eastAsia" w:ascii="楷体" w:hAnsi="楷体" w:eastAsia="楷体" w:cs="楷体"/>
          <w:b w:val="0"/>
          <w:bCs/>
          <w:sz w:val="32"/>
          <w:szCs w:val="32"/>
          <w:lang w:eastAsia="zh-CN"/>
        </w:rPr>
        <w:t>决策</w:t>
      </w:r>
      <w:r>
        <w:rPr>
          <w:rFonts w:hint="eastAsia" w:ascii="楷体" w:hAnsi="楷体" w:eastAsia="楷体" w:cs="楷体"/>
          <w:sz w:val="32"/>
          <w:szCs w:val="32"/>
        </w:rPr>
        <w:t>（本项</w:t>
      </w:r>
      <w:r>
        <w:rPr>
          <w:rFonts w:hint="eastAsia" w:ascii="楷体" w:hAnsi="楷体" w:eastAsia="楷体" w:cs="楷体"/>
          <w:sz w:val="32"/>
          <w:szCs w:val="32"/>
          <w:lang w:val="en-US" w:eastAsia="zh-CN"/>
        </w:rPr>
        <w:t>20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17</w:t>
      </w:r>
      <w:r>
        <w:rPr>
          <w:rFonts w:hint="eastAsia" w:ascii="楷体" w:hAnsi="楷体" w:eastAsia="楷体" w:cs="楷体"/>
          <w:sz w:val="32"/>
          <w:szCs w:val="32"/>
        </w:rPr>
        <w:t>分）</w:t>
      </w:r>
      <w:bookmarkEnd w:id="46"/>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立项依据充分性</w:t>
      </w:r>
      <w:r>
        <w:rPr>
          <w:rFonts w:hint="eastAsia" w:ascii="仿宋" w:hAnsi="仿宋" w:eastAsia="仿宋" w:cs="仿宋"/>
          <w:sz w:val="32"/>
          <w:szCs w:val="32"/>
          <w:lang w:eastAsia="zh-CN"/>
        </w:rPr>
        <w:t>。项目立项是否符合法律法规、相关政策、发展规划以及部门职责，用以反映和考核项目立项依据情况。</w:t>
      </w:r>
      <w:r>
        <w:rPr>
          <w:rFonts w:hint="eastAsia" w:ascii="仿宋" w:hAnsi="仿宋" w:eastAsia="仿宋" w:cs="仿宋"/>
          <w:sz w:val="32"/>
          <w:szCs w:val="32"/>
        </w:rPr>
        <w:t>本项</w:t>
      </w:r>
      <w:r>
        <w:rPr>
          <w:rFonts w:hint="eastAsia" w:ascii="仿宋" w:hAnsi="仿宋" w:eastAsia="仿宋" w:cs="仿宋"/>
          <w:sz w:val="32"/>
          <w:szCs w:val="32"/>
          <w:lang w:val="en-US" w:eastAsia="zh-CN"/>
        </w:rPr>
        <w:t>5</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kern w:val="0"/>
          <w:sz w:val="32"/>
          <w:szCs w:val="32"/>
          <w:lang w:eastAsia="zh-CN"/>
        </w:rPr>
        <w:t>根据</w:t>
      </w:r>
      <w:r>
        <w:rPr>
          <w:rFonts w:hint="eastAsia" w:ascii="仿宋" w:hAnsi="仿宋" w:eastAsia="仿宋" w:cs="仿宋"/>
          <w:kern w:val="0"/>
          <w:sz w:val="32"/>
          <w:szCs w:val="32"/>
          <w:lang w:val="en-US" w:eastAsia="zh-CN"/>
        </w:rPr>
        <w:t>县</w:t>
      </w:r>
      <w:r>
        <w:rPr>
          <w:rFonts w:hint="eastAsia" w:ascii="仿宋" w:hAnsi="仿宋" w:eastAsia="仿宋" w:cs="仿宋"/>
          <w:kern w:val="0"/>
          <w:sz w:val="32"/>
          <w:szCs w:val="32"/>
          <w:lang w:eastAsia="zh-CN"/>
        </w:rPr>
        <w:t>发改委于《嘉鱼县发展和改革局关于三湖连江沿湖景观工程项目建议书的批复》（嘉发改审批【</w:t>
      </w:r>
      <w:r>
        <w:rPr>
          <w:rFonts w:hint="eastAsia" w:ascii="仿宋" w:hAnsi="仿宋" w:eastAsia="仿宋" w:cs="仿宋"/>
          <w:kern w:val="0"/>
          <w:sz w:val="32"/>
          <w:szCs w:val="32"/>
          <w:lang w:val="en-US" w:eastAsia="zh-CN"/>
        </w:rPr>
        <w:t>2017】31号）文件得出结论：该</w:t>
      </w:r>
      <w:r>
        <w:rPr>
          <w:rFonts w:hint="eastAsia" w:ascii="仿宋" w:hAnsi="仿宋" w:eastAsia="仿宋" w:cs="仿宋"/>
          <w:sz w:val="32"/>
          <w:szCs w:val="32"/>
          <w:lang w:eastAsia="zh-CN"/>
        </w:rPr>
        <w:t>项目立项符合相关政策、发展规划以及部门职责。</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 xml:space="preserve"> 2.立</w:t>
      </w:r>
      <w:r>
        <w:rPr>
          <w:rFonts w:hint="eastAsia" w:ascii="仿宋" w:hAnsi="仿宋" w:eastAsia="仿宋" w:cs="仿宋"/>
          <w:color w:val="auto"/>
          <w:sz w:val="32"/>
          <w:szCs w:val="32"/>
          <w:lang w:val="en-US" w:eastAsia="zh-CN"/>
        </w:rPr>
        <w:t>项程序规范性。</w:t>
      </w:r>
      <w:r>
        <w:rPr>
          <w:rFonts w:hint="eastAsia" w:ascii="仿宋" w:hAnsi="仿宋" w:eastAsia="仿宋" w:cs="仿宋"/>
          <w:color w:val="auto"/>
          <w:sz w:val="32"/>
          <w:szCs w:val="32"/>
          <w:lang w:eastAsia="zh-CN"/>
        </w:rPr>
        <w:t>项目申请、设立过程是否符合相关要求，用以反映和考核项目立项的规范情况。</w:t>
      </w:r>
      <w:r>
        <w:rPr>
          <w:rFonts w:hint="eastAsia" w:ascii="仿宋" w:hAnsi="仿宋" w:eastAsia="仿宋" w:cs="仿宋"/>
          <w:sz w:val="32"/>
          <w:szCs w:val="32"/>
        </w:rPr>
        <w:t>本项</w:t>
      </w:r>
      <w:r>
        <w:rPr>
          <w:rFonts w:hint="eastAsia" w:ascii="仿宋" w:hAnsi="仿宋" w:eastAsia="仿宋" w:cs="仿宋"/>
          <w:sz w:val="32"/>
          <w:szCs w:val="32"/>
          <w:lang w:val="en-US" w:eastAsia="zh-CN"/>
        </w:rPr>
        <w:t>3</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经查阅资料，项目事前已经过必要的可行性研究、集体决策等。程序基本符合要求，但由于项目立项初期未能考虑到大型水库施工以及大坝安全要求，未能向水利部门提供防洪影响评价、大坝安全鉴定、水土保持生态报告等申报资料。后经三湖连江水库管理处通知方才补办各项手续。项目审批手续上有遗漏。</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绩效目标合理性。项目所设定的绩效目标是否依据充分，是否符合客观实际，用以反映和考核项目绩效目标与项目实施的相符情况。本项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绩效目标设置符合城市规划建设工作的客观要求。但由于项目在实施过程中出现了设计变更、工程量增大，项目实际资金量与预算投资额有差异（具体见绩效评价指标体系表说明)。扣1分。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绩效指标明确性。据绩效目标设定的绩效指标是否清晰、细化、可衡量等，用以反映和考核项目绩效目标的明细化情况。本项</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该项目设定了年度目标和绩效指标，按照县财政局规范的绩效目标申报表进行了申报。绩效指标</w:t>
      </w:r>
      <w:r>
        <w:rPr>
          <w:rFonts w:hint="eastAsia" w:ascii="仿宋" w:hAnsi="仿宋" w:eastAsia="仿宋" w:cs="仿宋"/>
          <w:color w:val="auto"/>
          <w:sz w:val="32"/>
          <w:szCs w:val="32"/>
          <w:lang w:val="en-US" w:eastAsia="zh-CN"/>
        </w:rPr>
        <w:t>值细化、可衡量。</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预算编制科学性。项目预算编制是否经过科学论证、有明确标准，资金额度与年度目标是否相适应，用以反映和考核项目预算编制的科学性、合理性情况。本项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经查阅资料，该项目实际支出与预算绩效目标有一定差异。扣</w:t>
      </w:r>
      <w:r>
        <w:rPr>
          <w:rFonts w:hint="eastAsia" w:ascii="仿宋" w:hAnsi="仿宋" w:eastAsia="仿宋" w:cs="仿宋"/>
          <w:color w:val="auto"/>
          <w:sz w:val="32"/>
          <w:szCs w:val="32"/>
          <w:lang w:val="en-US" w:eastAsia="zh-CN"/>
        </w:rPr>
        <w:t>2分，得2分。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资金分配合理性。项目预算资金分配是否有测算依据，与补助单位或地方实际是否相适应，用以反映和考核项目预算资金分配的科学性、合理性情况。本项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分，综合平均得分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县住建局按照施工合同约定及时足额支付了工程进度款</w:t>
      </w:r>
      <w:r>
        <w:rPr>
          <w:rFonts w:hint="eastAsia" w:ascii="仿宋" w:hAnsi="仿宋" w:eastAsia="仿宋" w:cs="仿宋"/>
          <w:color w:val="auto"/>
          <w:sz w:val="32"/>
          <w:szCs w:val="32"/>
          <w:lang w:val="en-US" w:eastAsia="zh-CN"/>
        </w:rPr>
        <w:t>。</w:t>
      </w:r>
    </w:p>
    <w:p>
      <w:pPr>
        <w:pageBreakBefore w:val="0"/>
        <w:kinsoku/>
        <w:wordWrap/>
        <w:overflowPunct/>
        <w:topLinePunct w:val="0"/>
        <w:autoSpaceDE/>
        <w:autoSpaceDN/>
        <w:bidi w:val="0"/>
        <w:adjustRightInd/>
        <w:snapToGrid/>
        <w:spacing w:line="360" w:lineRule="auto"/>
        <w:ind w:left="757" w:leftChars="208" w:hanging="320" w:hangingChars="100"/>
        <w:textAlignment w:val="auto"/>
        <w:outlineLvl w:val="2"/>
        <w:rPr>
          <w:rFonts w:hint="eastAsia" w:ascii="楷体" w:hAnsi="楷体" w:eastAsia="楷体" w:cs="楷体"/>
          <w:sz w:val="32"/>
          <w:szCs w:val="32"/>
        </w:rPr>
      </w:pPr>
      <w:bookmarkStart w:id="47" w:name="_Toc6061"/>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项目</w:t>
      </w:r>
      <w:r>
        <w:rPr>
          <w:rFonts w:hint="eastAsia" w:ascii="楷体" w:hAnsi="楷体" w:eastAsia="楷体" w:cs="楷体"/>
          <w:b w:val="0"/>
          <w:bCs/>
          <w:sz w:val="32"/>
          <w:szCs w:val="32"/>
          <w:lang w:eastAsia="zh-CN"/>
        </w:rPr>
        <w:t>过程</w:t>
      </w:r>
      <w:r>
        <w:rPr>
          <w:rFonts w:hint="eastAsia" w:ascii="楷体" w:hAnsi="楷体" w:eastAsia="楷体" w:cs="楷体"/>
          <w:sz w:val="32"/>
          <w:szCs w:val="32"/>
        </w:rPr>
        <w:t>（本项</w:t>
      </w:r>
      <w:r>
        <w:rPr>
          <w:rFonts w:hint="eastAsia" w:ascii="楷体" w:hAnsi="楷体" w:eastAsia="楷体" w:cs="楷体"/>
          <w:sz w:val="32"/>
          <w:szCs w:val="32"/>
          <w:lang w:val="en-US" w:eastAsia="zh-CN"/>
        </w:rPr>
        <w:t>20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17</w:t>
      </w:r>
      <w:r>
        <w:rPr>
          <w:rFonts w:hint="eastAsia" w:ascii="楷体" w:hAnsi="楷体" w:eastAsia="楷体" w:cs="楷体"/>
          <w:sz w:val="32"/>
          <w:szCs w:val="32"/>
        </w:rPr>
        <w:t>分）</w:t>
      </w:r>
      <w:bookmarkEnd w:id="47"/>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1.资金到位率。实际到位资金与预算资金的比率，用以反映和考核资金落实情况对项目实施的总体保障程度。</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3</w:t>
      </w:r>
      <w:r>
        <w:rPr>
          <w:rFonts w:hint="eastAsia" w:ascii="仿宋" w:hAnsi="仿宋" w:eastAsia="仿宋" w:cs="仿宋"/>
          <w:sz w:val="32"/>
          <w:szCs w:val="32"/>
        </w:rPr>
        <w:t>分</w:t>
      </w:r>
      <w:r>
        <w:rPr>
          <w:rFonts w:hint="eastAsia" w:ascii="仿宋" w:hAnsi="仿宋" w:eastAsia="仿宋" w:cs="仿宋"/>
          <w:sz w:val="32"/>
          <w:szCs w:val="32"/>
          <w:lang w:eastAsia="zh-CN"/>
        </w:rPr>
        <w:t>。</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该项目预算资金1743万元，截止2019年12月31日，财政已拨付住建局1666万元，资金到位率96%，</w:t>
      </w:r>
      <w:r>
        <w:rPr>
          <w:rFonts w:hint="eastAsia" w:ascii="仿宋" w:hAnsi="仿宋" w:eastAsia="仿宋" w:cs="仿宋"/>
          <w:sz w:val="32"/>
          <w:szCs w:val="32"/>
          <w:lang w:val="en-US" w:eastAsia="zh-CN"/>
        </w:rPr>
        <w:t>扣1分得3分。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2.预算执行率。项目预算资金是否按照计划执行，用以反映或考核项目预算执行情况。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r>
        <w:rPr>
          <w:rFonts w:hint="eastAsia" w:ascii="仿宋" w:hAnsi="仿宋" w:eastAsia="仿宋" w:cs="仿宋"/>
          <w:sz w:val="32"/>
          <w:szCs w:val="32"/>
          <w:lang w:eastAsia="zh-CN"/>
        </w:rPr>
        <w:t>。</w:t>
      </w:r>
    </w:p>
    <w:p>
      <w:pPr>
        <w:spacing w:line="48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截至2019</w:t>
      </w:r>
      <w:r>
        <w:rPr>
          <w:rFonts w:hint="eastAsia" w:ascii="仿宋" w:hAnsi="仿宋" w:eastAsia="仿宋" w:cs="仿宋"/>
          <w:sz w:val="32"/>
          <w:szCs w:val="32"/>
          <w:lang w:eastAsia="zh-CN"/>
        </w:rPr>
        <w:t>年</w:t>
      </w:r>
      <w:r>
        <w:rPr>
          <w:rFonts w:hint="eastAsia" w:ascii="仿宋" w:hAnsi="仿宋" w:eastAsia="仿宋" w:cs="仿宋"/>
          <w:sz w:val="32"/>
          <w:szCs w:val="32"/>
        </w:rPr>
        <w:t>12</w:t>
      </w:r>
      <w:r>
        <w:rPr>
          <w:rFonts w:hint="eastAsia" w:ascii="仿宋" w:hAnsi="仿宋" w:eastAsia="仿宋" w:cs="仿宋"/>
          <w:sz w:val="32"/>
          <w:szCs w:val="32"/>
          <w:lang w:eastAsia="zh-CN"/>
        </w:rPr>
        <w:t>月</w:t>
      </w:r>
      <w:r>
        <w:rPr>
          <w:rFonts w:hint="eastAsia" w:ascii="仿宋" w:hAnsi="仿宋" w:eastAsia="仿宋" w:cs="仿宋"/>
          <w:sz w:val="32"/>
          <w:szCs w:val="32"/>
        </w:rPr>
        <w:t>31日，住建局已拨</w:t>
      </w:r>
      <w:r>
        <w:rPr>
          <w:rFonts w:hint="eastAsia" w:ascii="仿宋" w:hAnsi="仿宋" w:eastAsia="仿宋" w:cs="仿宋"/>
          <w:sz w:val="32"/>
          <w:szCs w:val="32"/>
          <w:lang w:eastAsia="zh-CN"/>
        </w:rPr>
        <w:t>付</w:t>
      </w:r>
      <w:r>
        <w:rPr>
          <w:rFonts w:hint="eastAsia" w:ascii="仿宋" w:hAnsi="仿宋" w:eastAsia="仿宋" w:cs="仿宋"/>
          <w:sz w:val="32"/>
          <w:szCs w:val="32"/>
        </w:rPr>
        <w:t>施工方1386万元，按合同约定金额，资金到位率80%。</w:t>
      </w:r>
      <w:r>
        <w:rPr>
          <w:rFonts w:hint="eastAsia" w:ascii="仿宋" w:hAnsi="仿宋" w:eastAsia="仿宋" w:cs="仿宋"/>
          <w:sz w:val="32"/>
          <w:szCs w:val="32"/>
          <w:lang w:eastAsia="zh-CN"/>
        </w:rPr>
        <w:t>资金尚未拨付到位</w:t>
      </w:r>
      <w:r>
        <w:rPr>
          <w:rFonts w:hint="eastAsia" w:ascii="仿宋" w:hAnsi="仿宋" w:eastAsia="仿宋" w:cs="仿宋"/>
          <w:sz w:val="32"/>
          <w:szCs w:val="32"/>
          <w:lang w:val="en-US" w:eastAsia="zh-CN"/>
        </w:rPr>
        <w:t>的</w:t>
      </w:r>
      <w:r>
        <w:rPr>
          <w:rFonts w:hint="eastAsia" w:ascii="仿宋" w:hAnsi="仿宋" w:eastAsia="仿宋" w:cs="仿宋"/>
          <w:sz w:val="32"/>
          <w:szCs w:val="32"/>
        </w:rPr>
        <w:t>原因</w:t>
      </w:r>
      <w:r>
        <w:rPr>
          <w:rFonts w:hint="eastAsia" w:ascii="仿宋" w:hAnsi="仿宋" w:eastAsia="仿宋" w:cs="仿宋"/>
          <w:sz w:val="32"/>
          <w:szCs w:val="32"/>
          <w:lang w:eastAsia="zh-CN"/>
        </w:rPr>
        <w:t>是决算审计结果尚未出，无法确定最终工程总价。</w:t>
      </w:r>
      <w:r>
        <w:rPr>
          <w:rFonts w:hint="eastAsia" w:ascii="仿宋" w:hAnsi="仿宋" w:eastAsia="仿宋" w:cs="仿宋"/>
          <w:sz w:val="32"/>
          <w:szCs w:val="32"/>
          <w:lang w:val="en-US" w:eastAsia="zh-CN"/>
        </w:rPr>
        <w:t>扣2分得2分。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3.资金使用合规性。项目资金使用是否符合相关的财务管理制度规定，用以反映和考核项目资金的规范运行情况。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val="en-US" w:eastAsia="zh-CN"/>
        </w:rPr>
        <w:t>通过查阅被考评单位账薄、原始凭证等财务资料，项目资金的拨付有完整的审批程序和手续，提交了申请资料，未发现虚列项目支出、截留挤占、挪用项目资金情况。</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4.制度健全性。项目实施单位的财务和业务管理制度是否健全，用以反映和考核财务和业务管理制度对项目顺利实施的保障情况。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通过查阅被考评单位相关档案资料，项目单位建立了财务管理制度、会计核算制度，项目管理制度或办法完整。</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5.制度执行有效性。项目实施是否符合相关管理规定，用以反映和考核相关管理制度的有效执行情况。</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查阅被考评单位相关档案资料，项目在实施过程中遵守相关法律法规规定，项目调整及资金支出手续完备、项目合同书、验收报告、技术鉴定等资料齐全，且制定了相关安全管理、监理管理制度，各制度执行有效。</w:t>
      </w:r>
    </w:p>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48" w:name="_Toc19898"/>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项目产出</w:t>
      </w:r>
      <w:r>
        <w:rPr>
          <w:rFonts w:hint="eastAsia" w:ascii="楷体" w:hAnsi="楷体" w:eastAsia="楷体" w:cs="楷体"/>
          <w:sz w:val="32"/>
          <w:szCs w:val="32"/>
        </w:rPr>
        <w:t>（本项</w:t>
      </w:r>
      <w:r>
        <w:rPr>
          <w:rFonts w:hint="eastAsia" w:ascii="楷体" w:hAnsi="楷体" w:eastAsia="楷体" w:cs="楷体"/>
          <w:sz w:val="32"/>
          <w:szCs w:val="32"/>
          <w:lang w:val="en-US" w:eastAsia="zh-CN"/>
        </w:rPr>
        <w:t>30</w:t>
      </w:r>
      <w:r>
        <w:rPr>
          <w:rFonts w:hint="eastAsia" w:ascii="楷体" w:hAnsi="楷体" w:eastAsia="楷体" w:cs="楷体"/>
          <w:sz w:val="32"/>
          <w:szCs w:val="32"/>
        </w:rPr>
        <w:t>分，综合平均得分</w:t>
      </w:r>
      <w:r>
        <w:rPr>
          <w:rFonts w:hint="eastAsia" w:ascii="楷体" w:hAnsi="楷体" w:eastAsia="楷体" w:cs="楷体"/>
          <w:sz w:val="32"/>
          <w:szCs w:val="32"/>
          <w:lang w:val="en-US" w:eastAsia="zh-CN"/>
        </w:rPr>
        <w:t>22</w:t>
      </w:r>
      <w:r>
        <w:rPr>
          <w:rFonts w:hint="eastAsia" w:ascii="楷体" w:hAnsi="楷体" w:eastAsia="楷体" w:cs="楷体"/>
          <w:sz w:val="32"/>
          <w:szCs w:val="32"/>
        </w:rPr>
        <w:t>分）</w:t>
      </w:r>
      <w:bookmarkEnd w:id="48"/>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实际完成率</w:t>
      </w:r>
      <w:r>
        <w:rPr>
          <w:rFonts w:hint="eastAsia" w:ascii="仿宋" w:hAnsi="仿宋" w:eastAsia="仿宋" w:cs="仿宋"/>
          <w:sz w:val="32"/>
          <w:szCs w:val="32"/>
          <w:lang w:eastAsia="zh-CN"/>
        </w:rPr>
        <w:t>。项目实施的实际产出数与计划产出数的比率，用以反映和考核项目产出数量目标的实现程度。本项</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分，综合平均得分</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阅资料及实地勘测，景观工程已如期完工，但因工程设计后续有变更，工程量加大，项目工程款与实际预算差距较大，目前施工方与审计局尚未就审减工程金额达成一致意见，故项目还未完成竣工决算审计，扣3分，得1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质</w:t>
      </w:r>
      <w:r>
        <w:rPr>
          <w:rFonts w:hint="eastAsia" w:ascii="仿宋" w:hAnsi="仿宋" w:eastAsia="仿宋" w:cs="仿宋"/>
          <w:sz w:val="32"/>
          <w:szCs w:val="32"/>
          <w:lang w:val="en-US" w:eastAsia="zh-CN"/>
        </w:rPr>
        <w:t>量达标率。项目完成的质量达标产出数与实际产出数的比率，用以反映和考核项目产出质量目标的实现程度。</w:t>
      </w:r>
      <w:r>
        <w:rPr>
          <w:rFonts w:hint="eastAsia" w:ascii="仿宋" w:hAnsi="仿宋" w:eastAsia="仿宋" w:cs="仿宋"/>
          <w:sz w:val="32"/>
          <w:szCs w:val="32"/>
        </w:rPr>
        <w:t>本项</w:t>
      </w:r>
      <w:r>
        <w:rPr>
          <w:rFonts w:hint="eastAsia" w:ascii="仿宋" w:hAnsi="仿宋" w:eastAsia="仿宋" w:cs="仿宋"/>
          <w:sz w:val="32"/>
          <w:szCs w:val="32"/>
          <w:lang w:val="en-US" w:eastAsia="zh-CN"/>
        </w:rPr>
        <w:t>15</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15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eastAsia="zh-CN"/>
        </w:rPr>
        <w:t>经实地勘测，施工单位按设计方案对项目质量进行了严格把控，工程质量符合大型水库施工以及大坝安全要求</w:t>
      </w:r>
      <w:r>
        <w:rPr>
          <w:rFonts w:hint="eastAsia" w:ascii="仿宋" w:hAnsi="仿宋" w:eastAsia="仿宋" w:cs="仿宋"/>
          <w:sz w:val="32"/>
          <w:szCs w:val="32"/>
          <w:lang w:val="en-US"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②经查阅资料，施工人员及监理人员履职履责，现场施工严格按合同约定执行。</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③经查阅资料，进场材料均有检测报告，并且记录完整。</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④经查阅资料，施工现场制定了安全管理措施，并严格遵照执行。</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完成及时率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本项6分，综合平均得分4分。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计划开工时间</w:t>
      </w:r>
      <w:r>
        <w:rPr>
          <w:rFonts w:hint="eastAsia" w:ascii="仿宋" w:hAnsi="仿宋" w:eastAsia="仿宋" w:cs="仿宋"/>
          <w:sz w:val="32"/>
          <w:szCs w:val="32"/>
          <w:lang w:val="en-US" w:eastAsia="zh-CN"/>
        </w:rPr>
        <w:t>2018年1月16日</w:t>
      </w:r>
      <w:r>
        <w:rPr>
          <w:rFonts w:hint="eastAsia" w:ascii="仿宋" w:hAnsi="仿宋" w:eastAsia="仿宋" w:cs="仿宋"/>
          <w:sz w:val="32"/>
          <w:szCs w:val="32"/>
          <w:lang w:eastAsia="zh-CN"/>
        </w:rPr>
        <w:t>、竣工时间</w:t>
      </w:r>
      <w:r>
        <w:rPr>
          <w:rFonts w:hint="eastAsia" w:ascii="仿宋" w:hAnsi="仿宋" w:eastAsia="仿宋" w:cs="仿宋"/>
          <w:sz w:val="32"/>
          <w:szCs w:val="32"/>
          <w:lang w:val="en-US" w:eastAsia="zh-CN"/>
        </w:rPr>
        <w:t>2018年4月16日。</w:t>
      </w:r>
      <w:r>
        <w:rPr>
          <w:rFonts w:hint="eastAsia" w:ascii="仿宋" w:hAnsi="仿宋" w:eastAsia="仿宋" w:cs="仿宋"/>
          <w:sz w:val="32"/>
          <w:szCs w:val="32"/>
          <w:lang w:eastAsia="zh-CN"/>
        </w:rPr>
        <w:t>实际开工时间</w:t>
      </w:r>
      <w:r>
        <w:rPr>
          <w:rFonts w:hint="eastAsia" w:ascii="仿宋" w:hAnsi="仿宋" w:eastAsia="仿宋" w:cs="仿宋"/>
          <w:sz w:val="32"/>
          <w:szCs w:val="32"/>
          <w:lang w:val="en-US" w:eastAsia="zh-CN"/>
        </w:rPr>
        <w:t>2018年1月16日，竣工时间2018年10月10日。工期有延误。扣2分，得4分。</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4.产出成本</w:t>
      </w:r>
      <w:r>
        <w:rPr>
          <w:rFonts w:hint="eastAsia" w:ascii="仿宋" w:hAnsi="仿宋" w:eastAsia="仿宋" w:cs="仿宋"/>
          <w:sz w:val="32"/>
          <w:szCs w:val="32"/>
        </w:rPr>
        <w:t>（本项</w:t>
      </w:r>
      <w:r>
        <w:rPr>
          <w:rFonts w:hint="eastAsia" w:ascii="仿宋" w:hAnsi="仿宋" w:eastAsia="仿宋" w:cs="仿宋"/>
          <w:sz w:val="32"/>
          <w:szCs w:val="32"/>
          <w:lang w:val="en-US" w:eastAsia="zh-CN"/>
        </w:rPr>
        <w:t>4</w:t>
      </w:r>
      <w:r>
        <w:rPr>
          <w:rFonts w:hint="eastAsia" w:ascii="仿宋" w:hAnsi="仿宋" w:eastAsia="仿宋" w:cs="仿宋"/>
          <w:sz w:val="32"/>
          <w:szCs w:val="32"/>
        </w:rPr>
        <w:t>分，综合平均得分</w:t>
      </w:r>
      <w:r>
        <w:rPr>
          <w:rFonts w:hint="eastAsia" w:ascii="仿宋" w:hAnsi="仿宋" w:eastAsia="仿宋" w:cs="仿宋"/>
          <w:sz w:val="32"/>
          <w:szCs w:val="32"/>
          <w:lang w:val="en-US" w:eastAsia="zh-CN"/>
        </w:rPr>
        <w:t>2</w:t>
      </w:r>
      <w:r>
        <w:rPr>
          <w:rFonts w:hint="eastAsia" w:ascii="仿宋" w:hAnsi="仿宋" w:eastAsia="仿宋" w:cs="仿宋"/>
          <w:sz w:val="32"/>
          <w:szCs w:val="32"/>
        </w:rPr>
        <w:t>分）</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项目预算资金1743万元，目前项目实际成本已超预算，但由于决算审计报告尚未出，故具体超支金额不确定。扣2分，得2分。</w:t>
      </w:r>
    </w:p>
    <w:p>
      <w:pPr>
        <w:pageBreakBefore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val="en-US" w:eastAsia="zh-CN"/>
        </w:rPr>
      </w:pPr>
      <w:bookmarkStart w:id="49" w:name="_Toc28507"/>
      <w:r>
        <w:rPr>
          <w:rFonts w:hint="eastAsia" w:ascii="楷体" w:hAnsi="楷体" w:eastAsia="楷体" w:cs="楷体"/>
          <w:sz w:val="32"/>
          <w:szCs w:val="32"/>
          <w:lang w:val="en-US" w:eastAsia="zh-CN"/>
        </w:rPr>
        <w:t>（四）项目效果（本项30分，综合平均得分28分）</w:t>
      </w:r>
      <w:bookmarkEnd w:id="49"/>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50" w:name="_Toc29408"/>
      <w:bookmarkStart w:id="51" w:name="_Toc21194_WPSOffice_Level1"/>
      <w:bookmarkStart w:id="52" w:name="_Toc30141"/>
      <w:r>
        <w:rPr>
          <w:rFonts w:hint="eastAsia" w:ascii="仿宋" w:hAnsi="仿宋" w:eastAsia="仿宋" w:cs="仿宋"/>
          <w:sz w:val="32"/>
          <w:szCs w:val="32"/>
          <w:lang w:val="en-US" w:eastAsia="zh-CN"/>
        </w:rPr>
        <w:t>（1）社会效益。项目实施对社会发展所带来的直接或间接影响情况。本项10分，综合平均得分10分。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项目建成后，提升了周边旅游资源景观形象，加快了嘉鱼县旅游城市的建设和发展，吸引大量人流、资金等生产要素向嘉鱼县聚集。社会效益明显。</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（2）可持续影响。项目后续运行及成效发挥的可持续影响情况。本项10分，综合平均得分10分。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项目建成后，丰富了嘉鱼县的旅游资源，激活嘉鱼县发展动力，推进嘉鱼县的经济发展，同时极大的丰富了群众的业余文化生活，提高库区周边人民生活品质。可持续影响良好。</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（4）服务对象满意度。社会公众或服务对象对项目实施效果的满意程度。本项10分，综合平均得分8分。</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向项目管理人员、项目实施单位人员及景区游客随机发放调查问卷，分6项内容进行问询并评分。发放问卷30份，回收30份，有效问卷30份，统计满意率95%，大部分受访者对项目的实施表示满意，但个别受访者也对堤坝上的日常管理工作提了改进意见，希望堤坝上的清洁卫生工作能进一步加强管理。 </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eastAsia="zh-CN"/>
        </w:rPr>
      </w:pPr>
      <w:bookmarkStart w:id="53" w:name="_Toc19021"/>
      <w:r>
        <w:rPr>
          <w:rFonts w:hint="eastAsia" w:ascii="黑体" w:hAnsi="黑体" w:eastAsia="黑体" w:cs="黑体"/>
          <w:b w:val="0"/>
          <w:bCs w:val="0"/>
          <w:sz w:val="32"/>
          <w:szCs w:val="32"/>
          <w:lang w:eastAsia="zh-CN"/>
        </w:rPr>
        <w:t>四、综合评分</w:t>
      </w:r>
      <w:bookmarkEnd w:id="53"/>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根据项目支出绩效评价的要求，按照项目支出绩效评价指标进行分析，对指标体系进行评分，此次绩效评价的综合得分</w:t>
      </w:r>
      <w:r>
        <w:rPr>
          <w:rFonts w:hint="eastAsia" w:ascii="仿宋" w:hAnsi="仿宋" w:eastAsia="仿宋" w:cs="仿宋"/>
          <w:kern w:val="0"/>
          <w:sz w:val="32"/>
          <w:szCs w:val="32"/>
          <w:lang w:val="en-US" w:eastAsia="zh-CN"/>
        </w:rPr>
        <w:t>83</w:t>
      </w:r>
      <w:r>
        <w:rPr>
          <w:rFonts w:hint="eastAsia" w:ascii="仿宋" w:hAnsi="仿宋" w:eastAsia="仿宋" w:cs="仿宋"/>
          <w:kern w:val="0"/>
          <w:sz w:val="32"/>
          <w:szCs w:val="32"/>
        </w:rPr>
        <w:t>分，评价等级为</w:t>
      </w:r>
      <w:r>
        <w:rPr>
          <w:rFonts w:hint="eastAsia" w:ascii="仿宋" w:hAnsi="仿宋" w:eastAsia="仿宋" w:cs="仿宋"/>
          <w:kern w:val="0"/>
          <w:sz w:val="32"/>
          <w:szCs w:val="32"/>
          <w:lang w:eastAsia="zh-CN"/>
        </w:rPr>
        <w:t>良</w:t>
      </w:r>
      <w:r>
        <w:rPr>
          <w:rFonts w:hint="eastAsia" w:ascii="仿宋" w:hAnsi="仿宋" w:eastAsia="仿宋" w:cs="仿宋"/>
          <w:kern w:val="0"/>
          <w:sz w:val="32"/>
          <w:szCs w:val="32"/>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rPr>
      </w:pPr>
    </w:p>
    <w:tbl>
      <w:tblPr>
        <w:tblStyle w:val="10"/>
        <w:tblW w:w="8700" w:type="dxa"/>
        <w:jc w:val="center"/>
        <w:tblLayout w:type="fixed"/>
        <w:tblCellMar>
          <w:top w:w="0" w:type="dxa"/>
          <w:left w:w="0" w:type="dxa"/>
          <w:bottom w:w="0" w:type="dxa"/>
          <w:right w:w="0" w:type="dxa"/>
        </w:tblCellMar>
      </w:tblPr>
      <w:tblGrid>
        <w:gridCol w:w="1422"/>
        <w:gridCol w:w="1816"/>
        <w:gridCol w:w="1816"/>
        <w:gridCol w:w="1816"/>
        <w:gridCol w:w="1830"/>
      </w:tblGrid>
      <w:tr>
        <w:tblPrEx>
          <w:tblCellMar>
            <w:top w:w="0" w:type="dxa"/>
            <w:left w:w="0" w:type="dxa"/>
            <w:bottom w:w="0" w:type="dxa"/>
            <w:right w:w="0" w:type="dxa"/>
          </w:tblCellMar>
        </w:tblPrEx>
        <w:trPr>
          <w:trHeight w:val="498" w:hRule="atLeast"/>
          <w:jc w:val="center"/>
        </w:trPr>
        <w:tc>
          <w:tcPr>
            <w:tcW w:w="8700"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评价分数和等级</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项目</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标准分数</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评价得分</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等级</w:t>
            </w:r>
          </w:p>
        </w:tc>
      </w:tr>
      <w:tr>
        <w:tblPrEx>
          <w:tblCellMar>
            <w:top w:w="0" w:type="dxa"/>
            <w:left w:w="0" w:type="dxa"/>
            <w:bottom w:w="0" w:type="dxa"/>
            <w:right w:w="0" w:type="dxa"/>
          </w:tblCellMar>
        </w:tblPrEx>
        <w:trPr>
          <w:trHeight w:val="677"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决策</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16</w:t>
            </w:r>
          </w:p>
        </w:tc>
        <w:tc>
          <w:tcPr>
            <w:tcW w:w="18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良</w:t>
            </w: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过程</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17</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产出</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22</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554"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效益</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30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28</w:t>
            </w:r>
          </w:p>
        </w:tc>
        <w:tc>
          <w:tcPr>
            <w:tcW w:w="1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611"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100</w:t>
            </w:r>
          </w:p>
        </w:tc>
        <w:tc>
          <w:tcPr>
            <w:tcW w:w="1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83</w:t>
            </w:r>
          </w:p>
        </w:tc>
        <w:tc>
          <w:tcPr>
            <w:tcW w:w="18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outlineLvl w:val="9"/>
              <w:rPr>
                <w:rFonts w:hint="eastAsia" w:ascii="仿宋" w:hAnsi="仿宋" w:eastAsia="仿宋" w:cs="仿宋"/>
                <w:i w:val="0"/>
                <w:color w:val="000000"/>
                <w:sz w:val="32"/>
                <w:szCs w:val="32"/>
                <w:u w:val="none"/>
              </w:rPr>
            </w:pPr>
          </w:p>
        </w:tc>
      </w:tr>
    </w:tbl>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pPr>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b w:val="0"/>
          <w:bCs w:val="0"/>
          <w:kern w:val="0"/>
          <w:sz w:val="32"/>
          <w:szCs w:val="32"/>
          <w:lang w:val="en-US" w:eastAsia="zh-CN"/>
        </w:rPr>
      </w:pPr>
      <w:bookmarkStart w:id="54" w:name="_Toc6248"/>
      <w:r>
        <w:rPr>
          <w:rFonts w:hint="eastAsia" w:ascii="黑体" w:hAnsi="黑体" w:eastAsia="黑体" w:cs="黑体"/>
          <w:b w:val="0"/>
          <w:bCs w:val="0"/>
          <w:kern w:val="0"/>
          <w:sz w:val="32"/>
          <w:szCs w:val="32"/>
          <w:lang w:val="en-US" w:eastAsia="zh-CN"/>
        </w:rPr>
        <w:t>五、存在的主要问题</w:t>
      </w:r>
      <w:bookmarkEnd w:id="54"/>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
          <w:sz w:val="32"/>
          <w:szCs w:val="32"/>
          <w:lang w:val="en-US" w:eastAsia="zh-CN"/>
        </w:rPr>
        <w:t>1、由于项目建设前期未周全考虑到大型水库施工以及大坝安全要求，未能向水利部门提供防洪影响评价、大坝安全鉴定、水土保持生态报告等申报资料。导致动工后又按三湖连江水库管理处意见进行停工整改。整个工期从计划的2018年4月16日延至2018年10月10日。</w:t>
      </w:r>
    </w:p>
    <w:p>
      <w:pPr>
        <w:numPr>
          <w:ilvl w:val="0"/>
          <w:numId w:val="0"/>
        </w:numPr>
        <w:spacing w:before="0" w:after="0" w:line="360" w:lineRule="auto"/>
        <w:ind w:firstLine="640" w:firstLineChars="200"/>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根据三湖连江水库管理处的整改意见，县住建局委托中国电建集团昆明勘测设计研究院对景观工程给大坝造成的安全影响进行了分析评价，根据评价意见，项目组重新修改了项目设计方案，项目总造价也较前期的预算有了较大幅度的上涨。</w:t>
      </w:r>
    </w:p>
    <w:p>
      <w:pPr>
        <w:numPr>
          <w:ilvl w:val="0"/>
          <w:numId w:val="0"/>
        </w:numPr>
        <w:spacing w:before="0" w:after="0" w:line="360" w:lineRule="auto"/>
        <w:ind w:firstLine="640" w:firstLineChars="200"/>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3、项目于2018年10月10日已完工，但由于审计局在竣工决算审计中审减的金额较大，施工方对此有异议，双方未就审减金额达成一致意见，导致至今竣工决算审计结果仍未出正式报告。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六、结果应用建议</w:t>
      </w:r>
    </w:p>
    <w:p>
      <w:pPr>
        <w:pStyle w:val="9"/>
        <w:keepNext w:val="0"/>
        <w:keepLines w:val="0"/>
        <w:widowControl/>
        <w:suppressLineNumbers w:val="0"/>
        <w:spacing w:line="360"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_GB2312"/>
          <w:kern w:val="2"/>
          <w:sz w:val="32"/>
          <w:szCs w:val="32"/>
          <w:lang w:val="en-US" w:eastAsia="zh-CN" w:bidi="ar-SA"/>
        </w:rPr>
        <w:t>在开展城市更新、基础设施改造提升等工作时，要正确处理好新与旧、改与留的关系，从统筹做好保护与更新的角度出发，充分论证项目可行性。对确实需要实施的建设项目，要严格按照有关规定办理审批手续，提前公示建设（改造）方案，征求公众意见，自觉接受社会及相关单位监督，确保将城市改造和建设工作落到实处。</w:t>
      </w:r>
    </w:p>
    <w:p>
      <w:pPr>
        <w:spacing w:line="480" w:lineRule="auto"/>
        <w:ind w:firstLine="640" w:firstLineChars="200"/>
        <w:outlineLvl w:val="9"/>
        <w:rPr>
          <w:rFonts w:hint="eastAsia" w:ascii="黑体" w:hAnsi="黑体" w:eastAsia="黑体" w:cs="黑体"/>
          <w:b/>
          <w:bCs/>
          <w:sz w:val="32"/>
          <w:szCs w:val="32"/>
          <w:lang w:eastAsia="zh-CN"/>
        </w:rPr>
      </w:pPr>
      <w:r>
        <w:rPr>
          <w:rFonts w:hint="eastAsia" w:ascii="仿宋" w:hAnsi="仿宋" w:eastAsia="仿宋" w:cs="仿宋"/>
          <w:color w:val="auto"/>
          <w:sz w:val="32"/>
          <w:szCs w:val="32"/>
          <w:lang w:val="en-US" w:eastAsia="zh-CN"/>
        </w:rPr>
        <w:t>2、协助施工方尽快完成竣工决算审计工作。</w:t>
      </w:r>
    </w:p>
    <w:p>
      <w:pPr>
        <w:pStyle w:val="3"/>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55" w:name="_Toc30196"/>
      <w:r>
        <w:rPr>
          <w:rFonts w:hint="eastAsia" w:ascii="黑体" w:hAnsi="黑体" w:eastAsia="黑体" w:cs="黑体"/>
          <w:b w:val="0"/>
          <w:bCs w:val="0"/>
          <w:sz w:val="32"/>
          <w:szCs w:val="32"/>
          <w:lang w:val="en-US" w:eastAsia="zh-CN"/>
        </w:rPr>
        <w:t>七、其他需说明的</w:t>
      </w:r>
      <w:bookmarkEnd w:id="50"/>
      <w:r>
        <w:rPr>
          <w:rFonts w:hint="eastAsia" w:ascii="黑体" w:hAnsi="黑体" w:eastAsia="黑体" w:cs="黑体"/>
          <w:b w:val="0"/>
          <w:bCs w:val="0"/>
          <w:sz w:val="32"/>
          <w:szCs w:val="32"/>
          <w:lang w:val="en-US" w:eastAsia="zh-CN"/>
        </w:rPr>
        <w:t>问题</w:t>
      </w:r>
      <w:bookmarkEnd w:id="51"/>
      <w:bookmarkEnd w:id="52"/>
      <w:bookmarkEnd w:id="55"/>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1、本次评价工作是在</w:t>
      </w:r>
      <w:r>
        <w:rPr>
          <w:rFonts w:hint="eastAsia" w:ascii="仿宋" w:hAnsi="仿宋" w:eastAsia="仿宋" w:cs="仿宋"/>
          <w:sz w:val="32"/>
          <w:szCs w:val="32"/>
          <w:lang w:eastAsia="zh-CN"/>
        </w:rPr>
        <w:t>嘉鱼县</w:t>
      </w:r>
      <w:r>
        <w:rPr>
          <w:rFonts w:hint="eastAsia" w:ascii="仿宋" w:hAnsi="仿宋" w:eastAsia="仿宋" w:cs="仿宋"/>
          <w:sz w:val="32"/>
          <w:szCs w:val="32"/>
        </w:rPr>
        <w:t>财政局的指导和项目主管单位以及实施单位的配合下完成的，绩效评价小组具体实施评价工作和撰写报告。评价报告及结论受评价人员对项目的了解程度、专业知识和评价能力的限制。</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2、评价基准日：201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3、本评价报告除财务数据外</w:t>
      </w:r>
      <w:r>
        <w:rPr>
          <w:rFonts w:hint="eastAsia" w:ascii="仿宋" w:hAnsi="仿宋" w:eastAsia="仿宋" w:cs="仿宋"/>
          <w:sz w:val="32"/>
          <w:szCs w:val="32"/>
          <w:lang w:eastAsia="zh-CN"/>
        </w:rPr>
        <w:t>，</w:t>
      </w:r>
      <w:r>
        <w:rPr>
          <w:rFonts w:hint="eastAsia" w:ascii="仿宋" w:hAnsi="仿宋" w:eastAsia="仿宋" w:cs="仿宋"/>
          <w:sz w:val="32"/>
          <w:szCs w:val="32"/>
        </w:rPr>
        <w:t>其他有关业务数据系通过调查、抽样、实地考察等形式取得，有一定的局限性。</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4、由于竣工决算审计尚未出正式报告，故工程的总造价及超预算金额等数字无法进行准确统计。</w:t>
      </w:r>
    </w:p>
    <w:p>
      <w:pPr>
        <w:numPr>
          <w:ilvl w:val="0"/>
          <w:numId w:val="0"/>
        </w:numPr>
        <w:spacing w:before="0" w:after="0" w:line="360" w:lineRule="auto"/>
        <w:ind w:firstLine="640" w:firstLineChars="200"/>
        <w:outlineLvl w:val="1"/>
        <w:rPr>
          <w:rFonts w:hint="eastAsia" w:ascii="黑体" w:hAnsi="黑体" w:eastAsia="黑体" w:cs="黑体"/>
          <w:b w:val="0"/>
          <w:bCs w:val="0"/>
          <w:sz w:val="32"/>
          <w:szCs w:val="32"/>
          <w:lang w:val="en-US" w:eastAsia="zh-CN"/>
        </w:rPr>
      </w:pPr>
      <w:bookmarkStart w:id="56" w:name="_Toc6059"/>
      <w:bookmarkStart w:id="57" w:name="_Toc26586"/>
      <w:r>
        <w:rPr>
          <w:rFonts w:hint="eastAsia" w:ascii="黑体" w:hAnsi="黑体" w:eastAsia="黑体" w:cs="黑体"/>
          <w:b w:val="0"/>
          <w:bCs w:val="0"/>
          <w:sz w:val="32"/>
          <w:szCs w:val="32"/>
          <w:lang w:val="en-US" w:eastAsia="zh-CN"/>
        </w:rPr>
        <w:t>八、附件</w:t>
      </w:r>
      <w:bookmarkEnd w:id="56"/>
      <w:bookmarkEnd w:id="57"/>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三湖连江沿湖景观工程项目绩效评价指标体系表</w:t>
      </w:r>
    </w:p>
    <w:p>
      <w:pPr>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rPr>
        <w:t>附件2：</w:t>
      </w:r>
      <w:r>
        <w:rPr>
          <w:rFonts w:hint="eastAsia" w:ascii="仿宋" w:hAnsi="仿宋" w:eastAsia="仿宋" w:cs="仿宋"/>
          <w:sz w:val="32"/>
          <w:szCs w:val="32"/>
          <w:lang w:eastAsia="zh-CN"/>
        </w:rPr>
        <w:t>嘉鱼县住建局</w:t>
      </w:r>
      <w:r>
        <w:rPr>
          <w:rFonts w:hint="eastAsia" w:ascii="仿宋" w:hAnsi="仿宋" w:eastAsia="仿宋" w:cs="仿宋"/>
          <w:sz w:val="32"/>
          <w:szCs w:val="32"/>
          <w:lang w:val="en-US" w:eastAsia="zh-CN"/>
        </w:rPr>
        <w:t>三湖连江沿湖景观工程项目</w:t>
      </w:r>
      <w:r>
        <w:rPr>
          <w:rFonts w:hint="eastAsia" w:ascii="仿宋" w:hAnsi="仿宋" w:eastAsia="仿宋" w:cs="仿宋"/>
          <w:sz w:val="32"/>
          <w:szCs w:val="32"/>
        </w:rPr>
        <w:t>调查问卷</w:t>
      </w:r>
      <w:r>
        <w:rPr>
          <w:rFonts w:hint="eastAsia" w:ascii="仿宋" w:hAnsi="仿宋" w:eastAsia="仿宋" w:cs="仿宋"/>
          <w:sz w:val="32"/>
          <w:szCs w:val="32"/>
          <w:lang w:eastAsia="zh-CN"/>
        </w:rPr>
        <w:t>汇总表</w:t>
      </w: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adjustRightInd/>
        <w:snapToGrid/>
        <w:spacing w:line="360" w:lineRule="auto"/>
        <w:ind w:firstLine="5040" w:firstLineChars="1800"/>
        <w:textAlignment w:val="auto"/>
        <w:outlineLvl w:val="9"/>
        <w:rPr>
          <w:rFonts w:hint="eastAsia" w:ascii="仿宋" w:hAnsi="仿宋" w:eastAsia="仿宋" w:cs="仿宋"/>
          <w:sz w:val="28"/>
          <w:szCs w:val="28"/>
        </w:rPr>
      </w:pPr>
      <w:r>
        <w:rPr>
          <w:rFonts w:hint="eastAsia" w:ascii="仿宋" w:hAnsi="仿宋" w:eastAsia="仿宋" w:cs="仿宋"/>
          <w:sz w:val="28"/>
          <w:szCs w:val="28"/>
        </w:rPr>
        <w:t>中国注册会计师：</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湖北</w:t>
      </w:r>
      <w:r>
        <w:rPr>
          <w:rFonts w:hint="eastAsia" w:ascii="仿宋" w:hAnsi="仿宋" w:eastAsia="仿宋" w:cs="仿宋"/>
          <w:sz w:val="28"/>
          <w:szCs w:val="28"/>
          <w:lang w:val="en-US" w:eastAsia="zh-CN"/>
        </w:rPr>
        <w:t>同业</w:t>
      </w:r>
      <w:r>
        <w:rPr>
          <w:rFonts w:hint="eastAsia" w:ascii="仿宋" w:hAnsi="仿宋" w:eastAsia="仿宋" w:cs="仿宋"/>
          <w:sz w:val="28"/>
          <w:szCs w:val="28"/>
        </w:rPr>
        <w:t xml:space="preserve">会计师事务有限公司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中国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湖北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中国注册会计师：</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二○二○年</w:t>
      </w:r>
      <w:r>
        <w:rPr>
          <w:rFonts w:hint="eastAsia" w:ascii="仿宋" w:hAnsi="仿宋" w:eastAsia="仿宋" w:cs="仿宋"/>
          <w:sz w:val="28"/>
          <w:szCs w:val="28"/>
          <w:lang w:val="en-US" w:eastAsia="zh-CN"/>
        </w:rPr>
        <w:t>九</w:t>
      </w:r>
      <w:r>
        <w:rPr>
          <w:rFonts w:hint="eastAsia" w:ascii="仿宋" w:hAnsi="仿宋" w:eastAsia="仿宋" w:cs="仿宋"/>
          <w:sz w:val="28"/>
          <w:szCs w:val="28"/>
        </w:rPr>
        <w:t>月</w:t>
      </w:r>
      <w:r>
        <w:rPr>
          <w:rFonts w:hint="eastAsia" w:ascii="仿宋" w:hAnsi="仿宋" w:eastAsia="仿宋" w:cs="仿宋"/>
          <w:sz w:val="28"/>
          <w:szCs w:val="28"/>
          <w:lang w:val="en-US" w:eastAsia="zh-CN"/>
        </w:rPr>
        <w:t>三十</w:t>
      </w:r>
      <w:r>
        <w:rPr>
          <w:rFonts w:hint="eastAsia" w:ascii="仿宋" w:hAnsi="仿宋" w:eastAsia="仿宋" w:cs="仿宋"/>
          <w:sz w:val="28"/>
          <w:szCs w:val="28"/>
          <w:lang w:eastAsia="zh-CN"/>
        </w:rPr>
        <w:t>日</w:t>
      </w:r>
    </w:p>
    <w:p>
      <w:pPr>
        <w:rPr>
          <w:rFonts w:hint="eastAsia" w:ascii="仿宋" w:hAnsi="仿宋" w:eastAsia="仿宋" w:cs="仿宋"/>
          <w:sz w:val="28"/>
          <w:szCs w:val="28"/>
          <w:lang w:val="en-US" w:eastAsia="zh-CN"/>
        </w:rPr>
        <w:sectPr>
          <w:pgSz w:w="11906" w:h="16838"/>
          <w:pgMar w:top="1440" w:right="1463" w:bottom="1440" w:left="1463" w:header="851" w:footer="992" w:gutter="0"/>
          <w:pgNumType w:fmt="decimal"/>
          <w:cols w:space="720" w:num="1"/>
          <w:docGrid w:type="lines" w:linePitch="312" w:charSpace="0"/>
        </w:sectPr>
      </w:pPr>
      <w:r>
        <w:rPr>
          <w:rFonts w:hint="eastAsia" w:ascii="仿宋" w:hAnsi="仿宋" w:eastAsia="仿宋" w:cs="仿宋"/>
          <w:sz w:val="28"/>
          <w:szCs w:val="28"/>
          <w:lang w:val="en-US" w:eastAsia="zh-CN"/>
        </w:rPr>
        <w:br w:type="page"/>
      </w:r>
    </w:p>
    <w:tbl>
      <w:tblPr>
        <w:tblStyle w:val="10"/>
        <w:tblW w:w="14521" w:type="dxa"/>
        <w:tblInd w:w="0" w:type="dxa"/>
        <w:shd w:val="clear" w:color="auto" w:fill="auto"/>
        <w:tblLayout w:type="fixed"/>
        <w:tblCellMar>
          <w:top w:w="0" w:type="dxa"/>
          <w:left w:w="0" w:type="dxa"/>
          <w:bottom w:w="0" w:type="dxa"/>
          <w:right w:w="0" w:type="dxa"/>
        </w:tblCellMar>
      </w:tblPr>
      <w:tblGrid>
        <w:gridCol w:w="722"/>
        <w:gridCol w:w="722"/>
        <w:gridCol w:w="973"/>
        <w:gridCol w:w="2551"/>
        <w:gridCol w:w="4486"/>
        <w:gridCol w:w="896"/>
        <w:gridCol w:w="3550"/>
        <w:gridCol w:w="621"/>
      </w:tblGrid>
      <w:tr>
        <w:tblPrEx>
          <w:shd w:val="clear" w:color="auto" w:fill="auto"/>
          <w:tblCellMar>
            <w:top w:w="0" w:type="dxa"/>
            <w:left w:w="0" w:type="dxa"/>
            <w:bottom w:w="0" w:type="dxa"/>
            <w:right w:w="0" w:type="dxa"/>
          </w:tblCellMar>
        </w:tblPrEx>
        <w:trPr>
          <w:trHeight w:val="318" w:hRule="atLeast"/>
        </w:trPr>
        <w:tc>
          <w:tcPr>
            <w:tcW w:w="7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72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5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8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1" w:hRule="atLeast"/>
        </w:trPr>
        <w:tc>
          <w:tcPr>
            <w:tcW w:w="1452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嘉鱼县三湖连江沿湖景观工程项目资金绩效评价指标体系</w:t>
            </w:r>
          </w:p>
        </w:tc>
      </w:tr>
      <w:tr>
        <w:tblPrEx>
          <w:tblCellMar>
            <w:top w:w="0" w:type="dxa"/>
            <w:left w:w="0" w:type="dxa"/>
            <w:bottom w:w="0" w:type="dxa"/>
            <w:right w:w="0" w:type="dxa"/>
          </w:tblCellMar>
        </w:tblPrEx>
        <w:trPr>
          <w:trHeight w:val="63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7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指标解释</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四级指标</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标准分</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评价依据</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811"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决策　（20分）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项目立项　</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立项依据充分性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项目立项是否符合法律法规、相关政策、发展规划以及部门职责，用以反映和考核项目立项依据情况。</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①项目立项是否符合国家法律法规、国民经济发展规划和相关政策；符合得1分，否则不得分。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②项目立项是否符合行业发展规划和政策要求；符合得1分，否则不得分。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3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③项目立项是否与部门职责范围相符，属于部门履职所需；符合得1分，否则不得分。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01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④项目是否属于公共财政支持范围，是否符合中央、地方事权支出责任划分原则；符合得1分，否则不得分。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⑤项目是否与相关部门同类项目或部门内部相关项目重复。符合得1分，否则不得分。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立项程序规范性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项目申请、设立过程是否符合相关要求，用以反映和考核项目立项的规范情况。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①项目是否按照规定的程序申请设立；符合得1分，否则不得分。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经查阅资料，基本符合要求，但由于项目立项时未能考虑到大型水库施工以及大坝安全要求，未能向水利部门提供防洪影响评价、大坝安全鉴定、水土保持生态报告等申报资料。</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132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②审批文件、材料是否符合相关要求；符合得1分，否则不得分。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447"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③事前是否已经过必要的可行性研究、专家论证、风险评估、绩效评估、集体决策。符合得1分，否则不得分。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事前已经过必要的可行性研究、集体决策等。程序基本符合要求，但由于项目立项初期未能考虑到大型水库施工以及大坝安全要求，未能向水利部门提供防洪影响评价、大坝安全鉴定、水土保持生态报告等申报资料。后经三湖连江水库管理处通知方才补办各项手续。</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626"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　</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绩效目标合理性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①项目是否有绩效目标；符合得1分，否则不得分。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9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②项目绩效目标与实际工作内容是否具有相关性；符合得1分，否则不得分。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由于项目设计后期进行了变更，项目实际工作内容与项目初期的绩效目标有一定的差异。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56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③项目预期产出效益和效果是否符合正常的业绩水平；符合得1分，否则不得分。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7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④是否与预算确定的项目投资额或资金量相匹配。符合得1分，否则不得分。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经查阅资料，项目后期变更工程量，与预算确定的项目投资额或资金量不相匹配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绩效指标明确性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依据绩效目标设定的绩效指标是否清晰、细化、可衡量等，用以反映和考核项目绩效目标的明细化情况。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①是否将项目绩效目标细化分解为具体的绩效指标；符合得1分，否则不得分。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②是否通过清晰、可衡量的指标值予以体现；符合得1分，否则不得分。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③是否与项目目标任务数或计划数相对应。符合得1分，否则不得分。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资金投入</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预算编制科学性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①预算编制是否经过科学论证；符合得1分，否则不得分。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②预算内容与项目内容是否匹配；符合得1分，否则不得分。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经查阅资料，实际支出与预算绩效目标有差异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70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③预算额度测算依据是否充分，是否按照标准编制；符合得1分，否则不得分。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④预算确定的项目投资额或资金量是否与工作任务相匹配。符合得1分，否则不得分。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经查阅资料，支出预算与绩效目标有差异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49"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资金分配合理性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①预算资金分配依据是否充分；符合得1分，否则不得分。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5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②资金分配额度是否合理，与项目单位或地方实际是否相适应。符合得1分，否则不得分。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12"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过程（20分）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资金管理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资金到位率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实际到位资金与预算资金的比率，用以反映和考核资金落实情况对项目实施的总体保障程度。</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资金到位率=（实际到位资金/预算资金）×100%。</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预算资金1743万元，截至2019.12.31日，财政拨付住建局1666万元，资金到位率96%。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78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项目预算资金是否按照计划执行，用以反映或考核项目预算执行情况。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预算执行率=（实际支出资金/实际到位资金）×100%。每下降5%扣0.5分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截至2019.12.31日，住建局已拨施工方1386万元，按合同约定金额，资金到位率80%。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99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资金管理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资金使用合规性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项目资金使用是否符合相关的财务管理制度规定，用以反映和考核项目资金的规范运行情况。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①是否符合国家财经法规和财务管理制度以及有关专项资金管理办法的规定；符合得1分，否则不得分。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②资金的拨付是否有完整的审批程序和手续；符合得1分，否则不得分。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6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③是否符合项目预算批复或合同规定的用途；符合得1分，否则不得分。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④是否存在截留、挤占、挪用、虚列支出等情况。符合得1分，否则不得分。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组织实施</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管理制度健全性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项目实施单位的财务和业务管理制度是否健全，用以反映和考核财务和业务管理制度对项目顺利实施的保障情况。</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①是否已制定或具有相应的财务和业务管理制度；符合得2分，否则不得分。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②财务和业务管理制度是否合法、合规、完整。符合得2分，否则不得分。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70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制度执行有效性</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项目实施是否符合相关管理规定，用以反映和考核相关管理制度的有效执行情况。</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①是否遵守相关法律法规和相关管理规定；符合得1分，否则不得分。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②项目调整及支出调整手续是否完备；符合得1分，否则不得分。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84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③项目合同书、验收报告、技术鉴定等资料是否齐全并及时归档；符合得1分，否则不得分。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8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④项目实施的人员条件、场地设备、信息支撑等是否落实到位。符合得1分，否则不得分。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859"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产出（30分）</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实际完成率</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项目实施的实际产出数与计划产出数的比率，用以反映和考核项目产出数量目标的实现程度。</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三湖连江景观工程是否已按规划情况如期完成施工</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经查阅资料及实地勘测，景观工程已如期完工，但因工程设计后续有变更，工程量加大，项目工程款与实际预算差距较大，目前施工方与审计局尚未就审减工程金额达成一致意见，故项目还未完成竣工决算审计。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产出质量</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质量达标率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项目完成的质量达标产出数与实际产出数的比率，用以反映和考核项目产出质量目标的实现程度。</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施工单位对项目质量把控是否到位，经检查，每发现一项有工程质量问题的扣1分，扣完为止</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经实地勘测，符合要求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按进度、质量、投资控制及监理人员履行职责情况，履行到位为3分，不够到位的每发现一项扣0.5分, 扣完为止。</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对于进场材料等有检测报告，并且记录完整的为3分，经抽查，每发现1次不完整的扣0.5分，扣完为止</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建设单位在建设过程中对项目质量进行监管的得3分，未履行监管职能的为0分。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49"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制定了安全管理措施1分；派员进行了安全检查的2分。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经查阅资料，符合要求</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产出时效</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完成及时率</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当年开工率</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计划开工时间2018.1.16日</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实际开工时间2018.1.16日，项目如期开工</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当年竣工率</w:t>
            </w:r>
          </w:p>
        </w:tc>
        <w:tc>
          <w:tcPr>
            <w:tcW w:w="4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计划竣工时间2018.4.16日</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实际竣工时间2018.10.10日，项目延期近半年</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3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产出成本</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成本节约率</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完成项目计划工作目标的实际节约成本与计划成本的比率，用以反映和考核项目的成本节约程度。</w:t>
            </w:r>
          </w:p>
        </w:tc>
        <w:tc>
          <w:tcPr>
            <w:tcW w:w="4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不超预算</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目前项目实际成本已超预算，但由于决算审计报告尚未出，故具体超支金额不确定。</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3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8"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　（30分）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项目效益　</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项目实施对社会发展所带来的直接或间接影响情况。</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提升城市形象</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提升周边旅游资源景观形象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9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加快城市建设</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加快嘉鱼县旅游城市的建设和发展，吸引大量人流、资金等生产要素向嘉鱼县聚集。</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9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项目后续运行及成效发挥的可持续影响情况。</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推动城市经济发展</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项目建成后，丰富了嘉鱼县的旅游资源，激活嘉鱼县发展动力，推进嘉鱼县的经济发展。</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9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丰富群众生活</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项目建成后，极大的丰富了群众的业余文化生活，提高库区周边人民生活品质。</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153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社会公众或服务对象对项目实施效果的满意程度。</w:t>
            </w:r>
          </w:p>
        </w:tc>
        <w:tc>
          <w:tcPr>
            <w:tcW w:w="4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每下降5%扣1分。</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大部分受访者对</w:t>
            </w:r>
            <w:r>
              <w:rPr>
                <w:rFonts w:hint="eastAsia" w:ascii="宋体" w:hAnsi="宋体" w:cs="宋体"/>
                <w:i w:val="0"/>
                <w:color w:val="000000"/>
                <w:kern w:val="0"/>
                <w:sz w:val="22"/>
                <w:szCs w:val="22"/>
                <w:u w:val="none"/>
                <w:lang w:val="en-US" w:eastAsia="zh-CN" w:bidi="ar"/>
              </w:rPr>
              <w:t>项目的实施表示满意</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，但个别受访者</w:t>
            </w:r>
            <w:r>
              <w:rPr>
                <w:rFonts w:hint="eastAsia" w:ascii="宋体" w:hAnsi="宋体" w:cs="宋体"/>
                <w:i w:val="0"/>
                <w:color w:val="000000"/>
                <w:kern w:val="0"/>
                <w:sz w:val="22"/>
                <w:szCs w:val="22"/>
                <w:u w:val="none"/>
                <w:lang w:val="en-US" w:eastAsia="zh-CN" w:bidi="ar"/>
              </w:rPr>
              <w:t>也对堤坝上的日常管</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理工作提了改进</w:t>
            </w:r>
            <w:r>
              <w:rPr>
                <w:rFonts w:hint="eastAsia" w:ascii="宋体" w:hAnsi="宋体" w:cs="宋体"/>
                <w:i w:val="0"/>
                <w:color w:val="000000"/>
                <w:kern w:val="0"/>
                <w:sz w:val="22"/>
                <w:szCs w:val="22"/>
                <w:u w:val="none"/>
                <w:lang w:val="en-US" w:eastAsia="zh-CN" w:bidi="ar"/>
              </w:rPr>
              <w:t>意见，希望堤坝上的</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清洁卫生工作能进</w:t>
            </w:r>
            <w:r>
              <w:rPr>
                <w:rFonts w:hint="eastAsia" w:ascii="宋体" w:hAnsi="宋体" w:cs="宋体"/>
                <w:i w:val="0"/>
                <w:color w:val="000000"/>
                <w:kern w:val="0"/>
                <w:sz w:val="22"/>
                <w:szCs w:val="22"/>
                <w:u w:val="none"/>
                <w:lang w:val="en-US" w:eastAsia="zh-CN" w:bidi="ar"/>
              </w:rPr>
              <w:t>一步加强管理。</w:t>
            </w:r>
          </w:p>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eastAsia="zh-CN"/>
              </w:rPr>
              <w:t>调查满意度</w:t>
            </w:r>
            <w:r>
              <w:rPr>
                <w:rFonts w:hint="eastAsia" w:ascii="宋体" w:hAnsi="宋体" w:cs="宋体"/>
                <w:i w:val="0"/>
                <w:color w:val="000000"/>
                <w:sz w:val="22"/>
                <w:szCs w:val="22"/>
                <w:u w:val="none"/>
                <w:lang w:val="en-US" w:eastAsia="zh-CN"/>
              </w:rPr>
              <w:t>95%。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17"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r>
    </w:tbl>
    <w:p>
      <w:pPr>
        <w:rPr>
          <w:rFonts w:hint="eastAsia" w:ascii="仿宋" w:hAnsi="仿宋" w:eastAsia="仿宋" w:cs="仿宋"/>
          <w:sz w:val="28"/>
          <w:szCs w:val="28"/>
          <w:lang w:eastAsia="zh-CN"/>
        </w:rPr>
        <w:sectPr>
          <w:pgSz w:w="16838" w:h="11906" w:orient="landscape"/>
          <w:pgMar w:top="1463" w:right="1440" w:bottom="1463" w:left="1440" w:header="851" w:footer="992" w:gutter="0"/>
          <w:pgNumType w:fmt="decimal"/>
          <w:cols w:space="720" w:num="1"/>
          <w:docGrid w:type="lines" w:linePitch="312" w:charSpace="0"/>
        </w:sectPr>
      </w:pPr>
      <w:r>
        <w:rPr>
          <w:rFonts w:hint="eastAsia" w:ascii="仿宋" w:hAnsi="仿宋" w:eastAsia="仿宋" w:cs="仿宋"/>
          <w:sz w:val="28"/>
          <w:szCs w:val="28"/>
          <w:lang w:eastAsia="zh-CN"/>
        </w:rPr>
        <w:br w:type="page"/>
      </w:r>
    </w:p>
    <w:p>
      <w:pPr>
        <w:jc w:val="both"/>
        <w:rPr>
          <w:rFonts w:hint="eastAsia"/>
          <w:sz w:val="28"/>
          <w:szCs w:val="28"/>
          <w:lang w:val="en-US" w:eastAsia="zh-CN"/>
        </w:rPr>
      </w:pPr>
      <w:r>
        <w:rPr>
          <w:rFonts w:hint="eastAsia"/>
          <w:sz w:val="28"/>
          <w:szCs w:val="28"/>
          <w:lang w:val="en-US" w:eastAsia="zh-CN"/>
        </w:rPr>
        <w:t>附件二：</w:t>
      </w:r>
      <w:bookmarkStart w:id="58" w:name="_GoBack"/>
    </w:p>
    <w:p>
      <w:pPr>
        <w:jc w:val="center"/>
        <w:rPr>
          <w:rFonts w:hint="eastAsia"/>
          <w:sz w:val="28"/>
          <w:szCs w:val="28"/>
          <w:lang w:val="en-US" w:eastAsia="zh-CN"/>
        </w:rPr>
      </w:pPr>
      <w:r>
        <w:rPr>
          <w:rFonts w:hint="eastAsia"/>
          <w:sz w:val="28"/>
          <w:szCs w:val="28"/>
          <w:lang w:val="en-US" w:eastAsia="zh-CN"/>
        </w:rPr>
        <w:t>三湖连江沿湖</w:t>
      </w:r>
      <w:bookmarkEnd w:id="58"/>
      <w:r>
        <w:rPr>
          <w:rFonts w:hint="eastAsia"/>
          <w:sz w:val="28"/>
          <w:szCs w:val="28"/>
          <w:lang w:val="en-US" w:eastAsia="zh-CN"/>
        </w:rPr>
        <w:t>景观工程调查问卷汇总表</w:t>
      </w:r>
    </w:p>
    <w:p>
      <w:pPr>
        <w:numPr>
          <w:ilvl w:val="0"/>
          <w:numId w:val="2"/>
        </w:numPr>
        <w:rPr>
          <w:rFonts w:hint="eastAsia"/>
          <w:sz w:val="28"/>
          <w:szCs w:val="28"/>
          <w:lang w:val="en-US" w:eastAsia="zh-CN"/>
        </w:rPr>
      </w:pPr>
      <w:r>
        <w:rPr>
          <w:rFonts w:hint="eastAsia"/>
          <w:sz w:val="28"/>
          <w:szCs w:val="28"/>
          <w:lang w:val="en-US" w:eastAsia="zh-CN"/>
        </w:rPr>
        <w:t>你对三湖连江沿湖景观工程的满意度</w:t>
      </w:r>
    </w:p>
    <w:p>
      <w:pPr>
        <w:numPr>
          <w:ilvl w:val="0"/>
          <w:numId w:val="0"/>
        </w:numPr>
        <w:ind w:firstLine="560" w:firstLineChars="200"/>
        <w:rPr>
          <w:rFonts w:hint="default"/>
          <w:sz w:val="28"/>
          <w:szCs w:val="28"/>
          <w:lang w:val="en-US" w:eastAsia="zh-CN"/>
        </w:rPr>
      </w:pPr>
      <w:r>
        <w:rPr>
          <w:rFonts w:hint="eastAsia"/>
          <w:sz w:val="28"/>
          <w:szCs w:val="28"/>
          <w:lang w:val="en-US" w:eastAsia="zh-CN"/>
        </w:rPr>
        <w:t>A满意 100%    B非常满意     C不满意      D非常不满意</w:t>
      </w:r>
    </w:p>
    <w:p>
      <w:pPr>
        <w:numPr>
          <w:ilvl w:val="0"/>
          <w:numId w:val="2"/>
        </w:numPr>
        <w:rPr>
          <w:rFonts w:hint="default"/>
          <w:sz w:val="28"/>
          <w:szCs w:val="28"/>
          <w:lang w:val="en-US" w:eastAsia="zh-CN"/>
        </w:rPr>
      </w:pPr>
      <w:r>
        <w:rPr>
          <w:rFonts w:hint="eastAsia"/>
          <w:sz w:val="28"/>
          <w:szCs w:val="28"/>
          <w:lang w:val="en-US" w:eastAsia="zh-CN"/>
        </w:rPr>
        <w:t>你是否支持本项目建设</w:t>
      </w:r>
    </w:p>
    <w:p>
      <w:pPr>
        <w:numPr>
          <w:ilvl w:val="0"/>
          <w:numId w:val="0"/>
        </w:numPr>
        <w:ind w:firstLine="560" w:firstLineChars="200"/>
        <w:rPr>
          <w:rFonts w:hint="default"/>
          <w:sz w:val="28"/>
          <w:szCs w:val="28"/>
          <w:lang w:val="en-US" w:eastAsia="zh-CN"/>
        </w:rPr>
      </w:pPr>
      <w:r>
        <w:rPr>
          <w:rFonts w:hint="eastAsia"/>
          <w:sz w:val="28"/>
          <w:szCs w:val="28"/>
          <w:lang w:val="en-US" w:eastAsia="zh-CN"/>
        </w:rPr>
        <w:t>A支持 100%     B不支持</w:t>
      </w:r>
    </w:p>
    <w:p>
      <w:pPr>
        <w:numPr>
          <w:ilvl w:val="0"/>
          <w:numId w:val="2"/>
        </w:numPr>
        <w:rPr>
          <w:rFonts w:hint="default"/>
          <w:sz w:val="28"/>
          <w:szCs w:val="28"/>
          <w:lang w:val="en-US" w:eastAsia="zh-CN"/>
        </w:rPr>
      </w:pPr>
      <w:r>
        <w:rPr>
          <w:rFonts w:hint="eastAsia"/>
          <w:sz w:val="28"/>
          <w:szCs w:val="28"/>
          <w:lang w:eastAsia="zh-CN"/>
        </w:rPr>
        <w:t>你认为县里花费此经费建设该景观工程有意义吗？</w:t>
      </w:r>
    </w:p>
    <w:p>
      <w:pPr>
        <w:numPr>
          <w:ilvl w:val="0"/>
          <w:numId w:val="0"/>
        </w:numPr>
        <w:ind w:firstLine="560" w:firstLineChars="200"/>
        <w:rPr>
          <w:rFonts w:hint="eastAsia"/>
          <w:sz w:val="28"/>
          <w:szCs w:val="28"/>
          <w:lang w:val="en-US" w:eastAsia="zh-CN"/>
        </w:rPr>
      </w:pPr>
      <w:r>
        <w:rPr>
          <w:rFonts w:hint="eastAsia"/>
          <w:sz w:val="28"/>
          <w:szCs w:val="28"/>
          <w:lang w:val="en-US" w:eastAsia="zh-CN"/>
        </w:rPr>
        <w:t>A无意义，政府应该把钱花在更多的公益慈善上</w:t>
      </w:r>
    </w:p>
    <w:p>
      <w:pPr>
        <w:numPr>
          <w:ilvl w:val="0"/>
          <w:numId w:val="0"/>
        </w:numPr>
        <w:ind w:firstLine="560" w:firstLineChars="200"/>
        <w:rPr>
          <w:rFonts w:hint="eastAsia"/>
          <w:sz w:val="28"/>
          <w:szCs w:val="28"/>
          <w:lang w:val="en-US" w:eastAsia="zh-CN"/>
        </w:rPr>
      </w:pPr>
      <w:r>
        <w:rPr>
          <w:rFonts w:hint="eastAsia"/>
          <w:sz w:val="28"/>
          <w:szCs w:val="28"/>
          <w:lang w:val="en-US" w:eastAsia="zh-CN"/>
        </w:rPr>
        <w:t>B不太有意义，都是“面子工程”</w:t>
      </w:r>
    </w:p>
    <w:p>
      <w:pPr>
        <w:numPr>
          <w:ilvl w:val="0"/>
          <w:numId w:val="0"/>
        </w:numPr>
        <w:ind w:firstLine="560" w:firstLineChars="200"/>
        <w:rPr>
          <w:rFonts w:hint="default"/>
          <w:sz w:val="28"/>
          <w:szCs w:val="28"/>
          <w:lang w:val="en-US" w:eastAsia="zh-CN"/>
        </w:rPr>
      </w:pPr>
      <w:r>
        <w:rPr>
          <w:rFonts w:hint="eastAsia"/>
          <w:sz w:val="28"/>
          <w:szCs w:val="28"/>
          <w:lang w:val="en-US" w:eastAsia="zh-CN"/>
        </w:rPr>
        <w:t xml:space="preserve">C有意义，提升了城市形象，丰富了群众娱乐场所，促进了群众文化生活水平的提高  100%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4、您对三湖连江沿湖景观工程的施工质量满意吗？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default"/>
          <w:sz w:val="28"/>
          <w:szCs w:val="28"/>
          <w:lang w:val="en-US" w:eastAsia="zh-CN"/>
        </w:rPr>
      </w:pPr>
      <w:r>
        <w:rPr>
          <w:rFonts w:hint="eastAsia"/>
          <w:sz w:val="28"/>
          <w:szCs w:val="28"/>
          <w:lang w:val="en-US" w:eastAsia="zh-CN"/>
        </w:rPr>
        <w:t>A很满意   B满意 29%   C一般 71%   D不满意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5、您觉得该项目建设完后，对您的生活环境质量影响是：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A有好影响 86%   B没什么影响 14%   C有坏的影响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6、您对工程完工后的日常管理感到满意吗？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A很满意   B满意 14%   C一般 43%  D不满意43%</w:t>
      </w:r>
    </w:p>
    <w:p>
      <w:pPr>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sectPr>
      <w:pgSz w:w="11906" w:h="16838"/>
      <w:pgMar w:top="1440" w:right="1463" w:bottom="1440" w:left="146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90"/>
        <w:tab w:val="clear" w:pos="4153"/>
      </w:tabs>
      <w:ind w:right="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r>
      <w:rPr>
        <w:rFonts w:hint="eastAsia" w:cs="Times New Roma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B0FC2"/>
    <w:multiLevelType w:val="singleLevel"/>
    <w:tmpl w:val="BFCB0FC2"/>
    <w:lvl w:ilvl="0" w:tentative="0">
      <w:start w:val="1"/>
      <w:numFmt w:val="decimal"/>
      <w:suff w:val="nothing"/>
      <w:lvlText w:val="%1、"/>
      <w:lvlJc w:val="left"/>
    </w:lvl>
  </w:abstractNum>
  <w:abstractNum w:abstractNumId="1">
    <w:nsid w:val="584F5CDB"/>
    <w:multiLevelType w:val="singleLevel"/>
    <w:tmpl w:val="584F5CD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D7652"/>
    <w:rsid w:val="07945CD2"/>
    <w:rsid w:val="08A54341"/>
    <w:rsid w:val="09A200E0"/>
    <w:rsid w:val="0EA1735E"/>
    <w:rsid w:val="13181CEC"/>
    <w:rsid w:val="15AD7652"/>
    <w:rsid w:val="17B90DE8"/>
    <w:rsid w:val="19225DAE"/>
    <w:rsid w:val="1BAD1845"/>
    <w:rsid w:val="1C475066"/>
    <w:rsid w:val="25BA51E7"/>
    <w:rsid w:val="2D245393"/>
    <w:rsid w:val="2EF10F0F"/>
    <w:rsid w:val="2F355517"/>
    <w:rsid w:val="312405CD"/>
    <w:rsid w:val="34021628"/>
    <w:rsid w:val="3D373051"/>
    <w:rsid w:val="495F7AE9"/>
    <w:rsid w:val="4A8045EE"/>
    <w:rsid w:val="4CC64CB2"/>
    <w:rsid w:val="4D910403"/>
    <w:rsid w:val="56F1720F"/>
    <w:rsid w:val="5CD20E3B"/>
    <w:rsid w:val="5E720A76"/>
    <w:rsid w:val="60BF5D93"/>
    <w:rsid w:val="624F3AF4"/>
    <w:rsid w:val="629250D1"/>
    <w:rsid w:val="6B29308B"/>
    <w:rsid w:val="70AC219C"/>
    <w:rsid w:val="72D820D9"/>
    <w:rsid w:val="7658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仿宋"/>
      <w:b/>
      <w:bCs/>
      <w:kern w:val="44"/>
      <w:sz w:val="32"/>
      <w:szCs w:val="32"/>
    </w:rPr>
  </w:style>
  <w:style w:type="paragraph" w:styleId="3">
    <w:name w:val="heading 2"/>
    <w:basedOn w:val="1"/>
    <w:next w:val="1"/>
    <w:qFormat/>
    <w:uiPriority w:val="99"/>
    <w:pPr>
      <w:keepNext/>
      <w:keepLines/>
      <w:spacing w:before="260" w:after="260" w:line="416" w:lineRule="auto"/>
      <w:outlineLvl w:val="1"/>
    </w:pPr>
    <w:rPr>
      <w:rFonts w:ascii="Cambria" w:hAnsi="Cambria" w:eastAsia="仿宋" w:cs="Cambria"/>
      <w:b/>
      <w:bCs/>
      <w:sz w:val="32"/>
      <w:szCs w:val="32"/>
    </w:rPr>
  </w:style>
  <w:style w:type="paragraph" w:styleId="4">
    <w:name w:val="heading 3"/>
    <w:basedOn w:val="1"/>
    <w:next w:val="1"/>
    <w:qFormat/>
    <w:uiPriority w:val="99"/>
    <w:pPr>
      <w:keepNext/>
      <w:keepLines/>
      <w:spacing w:before="260" w:after="260" w:line="416" w:lineRule="auto"/>
      <w:outlineLvl w:val="2"/>
    </w:pPr>
    <w:rPr>
      <w:rFonts w:eastAsia="仿宋"/>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semiHidden/>
    <w:qFormat/>
    <w:uiPriority w:val="99"/>
  </w:style>
  <w:style w:type="paragraph" w:styleId="8">
    <w:name w:val="toc 2"/>
    <w:basedOn w:val="1"/>
    <w:next w:val="1"/>
    <w:semiHidden/>
    <w:qFormat/>
    <w:uiPriority w:val="99"/>
    <w:pPr>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basedOn w:val="11"/>
    <w:qFormat/>
    <w:uiPriority w:val="99"/>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yperlink"/>
    <w:basedOn w:val="11"/>
    <w:qFormat/>
    <w:uiPriority w:val="0"/>
    <w:rPr>
      <w:color w:val="0000FF"/>
      <w:u w:val="none"/>
    </w:rPr>
  </w:style>
  <w:style w:type="character" w:customStyle="1" w:styleId="16">
    <w:name w:val="font01"/>
    <w:basedOn w:val="11"/>
    <w:qFormat/>
    <w:uiPriority w:val="0"/>
    <w:rPr>
      <w:rFonts w:ascii="宋体" w:hAnsi="宋体" w:eastAsia="宋体" w:cs="宋体"/>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default" w:ascii="Wingdings" w:hAnsi="Wingdings" w:cs="Wingdings"/>
      <w:color w:val="000000"/>
      <w:sz w:val="20"/>
      <w:szCs w:val="20"/>
      <w:u w:val="none"/>
    </w:rPr>
  </w:style>
  <w:style w:type="character" w:customStyle="1" w:styleId="19">
    <w:name w:val="font71"/>
    <w:basedOn w:val="11"/>
    <w:qFormat/>
    <w:uiPriority w:val="0"/>
    <w:rPr>
      <w:rFonts w:hint="eastAsia" w:ascii="微软雅黑" w:hAnsi="微软雅黑" w:eastAsia="微软雅黑" w:cs="微软雅黑"/>
      <w:color w:val="323232"/>
      <w:sz w:val="20"/>
      <w:szCs w:val="20"/>
      <w:u w:val="none"/>
    </w:rPr>
  </w:style>
  <w:style w:type="character" w:customStyle="1" w:styleId="20">
    <w:name w:val="font31"/>
    <w:basedOn w:val="11"/>
    <w:qFormat/>
    <w:uiPriority w:val="0"/>
    <w:rPr>
      <w:rFonts w:hint="default" w:ascii="Wingdings" w:hAnsi="Wingdings" w:cs="Wingdings"/>
      <w:color w:val="323232"/>
      <w:sz w:val="20"/>
      <w:szCs w:val="20"/>
      <w:u w:val="none"/>
    </w:rPr>
  </w:style>
  <w:style w:type="character" w:customStyle="1" w:styleId="21">
    <w:name w:val="font81"/>
    <w:basedOn w:val="11"/>
    <w:qFormat/>
    <w:uiPriority w:val="0"/>
    <w:rPr>
      <w:rFonts w:hint="eastAsia" w:ascii="微软雅黑" w:hAnsi="微软雅黑" w:eastAsia="微软雅黑" w:cs="微软雅黑"/>
      <w:color w:val="000000"/>
      <w:sz w:val="20"/>
      <w:szCs w:val="20"/>
      <w:u w:val="none"/>
    </w:rPr>
  </w:style>
  <w:style w:type="character" w:customStyle="1" w:styleId="22">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2020-09-17T09:20:00Z</dcterms:created>
  <dc:creator>Administrator</dc:creator>
  <cp:lastModifiedBy>SYY</cp:lastModifiedBy>
  <dcterms:modified xsi:type="dcterms:W3CDTF">2020-10-20T12:18:16Z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