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4"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关于嘉鱼县2021年预算详细方案、上半年政府</w:t>
      </w:r>
    </w:p>
    <w:p>
      <w:pPr>
        <w:adjustRightInd w:val="0"/>
        <w:snapToGrid w:val="0"/>
        <w:spacing w:line="554"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预算执行及地方政府债务情况的报告</w:t>
      </w:r>
    </w:p>
    <w:p>
      <w:pPr>
        <w:adjustRightInd w:val="0"/>
        <w:snapToGrid w:val="0"/>
        <w:spacing w:line="554" w:lineRule="exact"/>
        <w:jc w:val="center"/>
        <w:rPr>
          <w:rFonts w:ascii="楷体_GB2312" w:hAnsi="楷体" w:eastAsia="楷体_GB2312" w:cs="宋体"/>
          <w:color w:val="000000"/>
          <w:kern w:val="0"/>
          <w:sz w:val="32"/>
          <w:szCs w:val="28"/>
        </w:rPr>
      </w:pPr>
      <w:r>
        <w:rPr>
          <w:rFonts w:hint="eastAsia" w:ascii="楷体_GB2312" w:hAnsi="楷体" w:eastAsia="楷体_GB2312" w:cs="宋体"/>
          <w:color w:val="000000"/>
          <w:kern w:val="0"/>
          <w:sz w:val="32"/>
          <w:szCs w:val="28"/>
        </w:rPr>
        <w:t>——2021年8月6日在县十八届人大常委会第三十四次会议上</w:t>
      </w:r>
    </w:p>
    <w:p>
      <w:pPr>
        <w:adjustRightInd w:val="0"/>
        <w:snapToGrid w:val="0"/>
        <w:spacing w:line="554" w:lineRule="exact"/>
        <w:jc w:val="center"/>
        <w:rPr>
          <w:rFonts w:ascii="楷体_GB2312" w:hAnsi="楷体" w:eastAsia="楷体_GB2312" w:cs="宋体"/>
          <w:color w:val="000000"/>
          <w:kern w:val="0"/>
          <w:sz w:val="28"/>
        </w:rPr>
      </w:pPr>
      <w:r>
        <w:rPr>
          <w:rFonts w:hint="eastAsia" w:ascii="楷体_GB2312" w:hAnsi="楷体" w:eastAsia="楷体_GB2312" w:cs="宋体"/>
          <w:color w:val="000000"/>
          <w:kern w:val="0"/>
          <w:sz w:val="32"/>
          <w:szCs w:val="30"/>
        </w:rPr>
        <w:t>县财政局局长  耿协刚</w:t>
      </w:r>
    </w:p>
    <w:p>
      <w:pPr>
        <w:overflowPunct w:val="0"/>
        <w:adjustRightInd w:val="0"/>
        <w:snapToGrid w:val="0"/>
        <w:spacing w:line="580" w:lineRule="exact"/>
        <w:rPr>
          <w:rFonts w:ascii="宋体" w:hAnsi="宋体" w:cs="宋体"/>
          <w:color w:val="000000"/>
          <w:kern w:val="0"/>
          <w:sz w:val="32"/>
          <w:szCs w:val="32"/>
        </w:rPr>
      </w:pPr>
    </w:p>
    <w:p>
      <w:pPr>
        <w:overflowPunct w:val="0"/>
        <w:adjustRightInd w:val="0"/>
        <w:snapToGrid w:val="0"/>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主任、各位副主任，各位委员：</w:t>
      </w:r>
    </w:p>
    <w:p>
      <w:pPr>
        <w:overflowPunct w:val="0"/>
        <w:adjustRightInd w:val="0"/>
        <w:snapToGrid w:val="0"/>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我受县人民政府的委托，现在向县十八届人大常委会第三十四次会议，报告我县2021年预算详细方案、上半年政府预算执行及债券情况，请</w:t>
      </w:r>
      <w:r>
        <w:rPr>
          <w:rFonts w:hint="eastAsia" w:ascii="仿宋_GB2312" w:hAnsi="宋体" w:eastAsia="仿宋_GB2312" w:cs="宋体"/>
          <w:color w:val="000000"/>
          <w:kern w:val="0"/>
          <w:sz w:val="32"/>
          <w:szCs w:val="32"/>
        </w:rPr>
        <w:t>予审议。</w:t>
      </w:r>
    </w:p>
    <w:p>
      <w:pPr>
        <w:overflowPunct w:val="0"/>
        <w:adjustRightInd w:val="0"/>
        <w:snapToGrid w:val="0"/>
        <w:spacing w:line="580" w:lineRule="exact"/>
        <w:ind w:firstLine="720" w:firstLineChars="200"/>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第一部份：2021年预算详细方案</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预算编制的指导思想：以习近平新时代中国特色社会主义思想为指导，坚持高质量发展理念，全面落实中央、省、市、县决策部署，确保政策落实、项目落地、资金见效；坚持稳中求进总基调，用好用足一揽子支持政策，着力“六稳”“六保”；牢固树立过紧日子的思想，压减一般性支出，有保有压的预算分配机制，不断优化结构保民生、保重点；坚持全面统筹，整合政府资金、资产、资源；紧持绩效优先理念，大力推进预算管理一体化改革，强化政府债务管理，积极防范化解各类财政风险，提高财政运行绩效，不断健全标准科学、规范透明、约束有力的部门预算管理制度。</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一、政府四本预算收支计划情况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（一）一般公共预算收支安排计划</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1.总收入安排407703万元，负增长7.88%，其中：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地方公共预算收入安排130000万元，增长32.03%，增长过大的原因2020年疫情影响引起收入倒退，今年在2019年基础进入正常增速；税务局收入112500万元，财政局收入17500万元。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上级补助收入220000万元，同比负增长12.32%，因为上年疫情补贴特殊因素。返还性补助收入12524万元，一般性转移支付172476万元，专项性转移支付补助收入35000万元。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上年结余27703万元。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调入资金30000万元，主要是从政府性基金中调入。</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2.总支出安排 407703万元，负增长7.88%，其中：一般公共预算支出370000万元，政府债券转贷还本支出9399万元，上解上级支出27454万元。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一般公共预算支出370000万元，明细情况为：</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基本支出89912万元，其中：工资和福利支出76508万元，商品和服务支出8053万元，对个人和家庭的补助支出496万元。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项目支出284943万元，其中：县本级安排184943万元，上级补助支出安排10000万元。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3.一般公共预算安排当年收支平衡。</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（二）政府性基金预算收支安排计划</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1.政府性基金收入安排185303万元，增长1.02%，其中：县本级收入123500万元，转移性收入61803万元。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县本级收入安排123500万元，其中：国有土地收益基金收入3600万元，农业土地开发资金收入5400万元，国有土地使用权出让收入111000万元，城市基础设施配套费收入2000万元，污水处理费收入1000万元，专项债券对应项目专项收入500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转移性收入安排61803万元，其中：政府性基金补助收入5000万元，上年结余收入26803万元，地方政府专项债券转贷收入30000万元。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2.政府性基金支出安排182641万元，增长16.61%，主要是其他政府性基金及对应专项债务收入安排的支出增幅较大。其中：县本级支出138236万元，转移性支出44405万元。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县本级支出安排138236万元，其中：文化旅游体育与传媒支出31万元，社会保障和就业支出600万元，城乡社区支出969626万元，农林水支出600万元，交通运输支出100万元，其他支出20850万元，债务付息支出5465万元，抗疫特别国债支出13634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转移性支出安排44405万元，其中：调出到一般公共预算30000万元，地方政府专项债务还本支出14405万元。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3.政府性基金预算安排当年收支结余2662万元。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（三）社保基金预算收支安排计划</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1.社保基金收入安排138245万元，增长6.72%，其中：基本养老保险基金收入98024万元，医疗保险基金收入38691万元，工伤保险基金收入345万元，失业保险基金收入1185万元。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2.社保基金支出安排135538万元，增长7.44%，其中：基本养老保险基金支出100708万元，医疗保险基金支出33462万元，工伤保险基金支出660万元，失业保险基金支出708万元。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3.社会基金预算安排当年收支结余2707万元。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（四）国有资本经营预算收支安排计划</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1.国有资本经营收入2500万元，全部为其他国有资本经营收入，其中:城投1500万元，住建投500万元，担保公司500万元。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2.国有资本经营支出2500万元，其中：其他国有资本经营预算支出2300万元，调出资金200万元。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3.国有资本经营预算安排当年收支平衡。</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二、2021年预算支出与2020年预算支出口径比较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目标责任制按考核情况纳入财政预算。取消非税收入直接返还到单位，由单位申请项目支出，在取得非税收入中解决。</w:t>
      </w:r>
    </w:p>
    <w:p>
      <w:pPr>
        <w:overflowPunct w:val="0"/>
        <w:adjustRightInd w:val="0"/>
        <w:snapToGrid w:val="0"/>
        <w:spacing w:line="580" w:lineRule="exact"/>
        <w:ind w:firstLine="640" w:firstLineChars="200"/>
        <w:rPr>
          <w:rFonts w:ascii="仿宋_GB2312" w:hAnsi="宋体" w:eastAsia="仿宋_GB2312" w:cs="宋体"/>
          <w:kern w:val="0"/>
          <w:sz w:val="32"/>
          <w:szCs w:val="32"/>
        </w:rPr>
      </w:pPr>
    </w:p>
    <w:p>
      <w:pPr>
        <w:overflowPunct w:val="0"/>
        <w:adjustRightInd w:val="0"/>
        <w:snapToGrid w:val="0"/>
        <w:spacing w:line="580" w:lineRule="exact"/>
        <w:ind w:firstLine="720" w:firstLineChars="200"/>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第二部分、2021年上半年政府预算执行情况</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一、2021年上半年政府预算执行情况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(一)一般公共预算执行情况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（1）年初预算总收入407703万元，上半年完成239694万元，占预算的58.79%，其中：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本级收入当年预算安排130000万元，已完成80279万元，占预算61.75%，其中：税务完成70074万元，财政完成10205万元。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上级补助收入当年预算安排220000万元，已下达指标121320万元，占预算55.15%。</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债券收入当年预算未安排，已完成10392万元。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上年结余年初预算安排27703万元，已完成27703万元，占预算100%。</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调入资金年初预算30000万元，暂无进度。</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（2）年初预算总支出407703万元，上半年完成226773万元，占预算的55.62%，其中：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一般公共服务支出20924万元，占年初预算的61%。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公共安全支出7264万元，占年初预算的62.62%。</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教育支出17572万元，占年初预算的53.9%。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科学技术支出42万元，占年初预算的0.29%。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文化旅游体育与传媒支出1887万元，占年初预算的30.93%。</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社会保障和就业支出33385万元，占年初预算的48.02%。</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卫生健康支出32352万元，占年初预算的59.8%。</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节能环保支出10283万元，占年初预算的45.5%。</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城乡社区支出6942万元，占年初预算的38.57%。</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农林水支出22434万元，占年初预算的46.88%。</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交通运输支出18931万元，占年初预算的96.34%。</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资源勘探信息等支出</w:t>
      </w:r>
      <w:r>
        <w:rPr>
          <w:rFonts w:hint="eastAsia" w:ascii="仿宋_GB2312" w:hAnsi="宋体" w:eastAsia="仿宋_GB2312" w:cs="宋体"/>
          <w:kern w:val="0"/>
          <w:sz w:val="32"/>
          <w:szCs w:val="32"/>
        </w:rPr>
        <w:t>24358万元，占年初预算的161.31%，主要是对各中小企业税收返还支出。</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商业服务业等支出</w:t>
      </w:r>
      <w:r>
        <w:rPr>
          <w:rFonts w:hint="eastAsia" w:ascii="仿宋_GB2312" w:hAnsi="宋体" w:eastAsia="仿宋_GB2312" w:cs="宋体"/>
          <w:kern w:val="0"/>
          <w:sz w:val="32"/>
          <w:szCs w:val="32"/>
        </w:rPr>
        <w:t>723万元，占年初预算的72.3%。</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金融支出40万元，占年初预算的12.9%。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自然资源海洋气象等支出</w:t>
      </w:r>
      <w:r>
        <w:rPr>
          <w:rFonts w:hint="eastAsia" w:ascii="仿宋_GB2312" w:hAnsi="宋体" w:eastAsia="仿宋_GB2312" w:cs="宋体"/>
          <w:kern w:val="0"/>
          <w:sz w:val="32"/>
          <w:szCs w:val="32"/>
        </w:rPr>
        <w:t>2475万元，占年初预算的67.81%。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住房保障支出13770万元，占年初预算的137.7%，主要是老旧小区改造支出。</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粮油物资储备支出</w:t>
      </w:r>
      <w:r>
        <w:rPr>
          <w:rFonts w:hint="eastAsia" w:ascii="仿宋_GB2312" w:hAnsi="宋体" w:eastAsia="仿宋_GB2312" w:cs="宋体"/>
          <w:kern w:val="0"/>
          <w:sz w:val="32"/>
          <w:szCs w:val="32"/>
        </w:rPr>
        <w:t>257万元，占年初预算的13.11%。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灾害防治及应急管理支出2543万元，占年初预算的105.96%。</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债务发行费支出14万元，占年初预算的28%。</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债务付息支出</w:t>
      </w:r>
      <w:r>
        <w:rPr>
          <w:rFonts w:hint="eastAsia" w:ascii="仿宋_GB2312" w:hAnsi="宋体" w:eastAsia="仿宋_GB2312" w:cs="宋体"/>
          <w:kern w:val="0"/>
          <w:sz w:val="32"/>
          <w:szCs w:val="32"/>
        </w:rPr>
        <w:t>3914万元，占年初预算的69.21%。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政府债券转贷还本支出</w:t>
      </w:r>
      <w:r>
        <w:rPr>
          <w:rFonts w:hint="eastAsia" w:ascii="仿宋_GB2312" w:hAnsi="宋体" w:eastAsia="仿宋_GB2312" w:cs="宋体"/>
          <w:kern w:val="0"/>
          <w:sz w:val="32"/>
          <w:szCs w:val="32"/>
        </w:rPr>
        <w:t>6663万元，占年初预算的70.89%。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(二)政府性基金预算执行情况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（1）年初预算总收入185303万元，上半年完成73871万元，进度为39.86%，其中：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国有土地使用权出让收入131958万元，占年初预算的118.88%。</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政府性基金补助收入4870万元，占年初预算的97.4%。</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（2）年初预算总支出185303万元，上半年完成184889万元，进度为99.78%，其中：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文化体育与传媒支出2万元，占年初预算的6.45%。</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社会保障和就业支出1223万元，占年初预算的203.83%，主要是上年中型水库移民后期扶持基金在今年支出。</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城乡社区支出171929万元，占年初预算的177.38%。</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农林水支出40万元，占年初预算的6.67%。</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其他支出1190万元，占年初预算的5.71%。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债务付息支出2828万元，占年初预算的51.75%。</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债务发行费8万元，占年初预算的26.67%。</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抗疫特别国债支出104万元，占年初预算的0.76%。</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地方政府专项债务还本支出</w:t>
      </w:r>
      <w:r>
        <w:rPr>
          <w:rFonts w:hint="eastAsia" w:ascii="仿宋_GB2312" w:hAnsi="宋体" w:eastAsia="仿宋_GB2312" w:cs="宋体"/>
          <w:kern w:val="0"/>
          <w:sz w:val="32"/>
          <w:szCs w:val="32"/>
        </w:rPr>
        <w:t>7565万元，占年初预算的52.52%。</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(三)社保基金执行情况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（1）社保基金收入年初预算138245万元，上半年完成62799万元，进度为45.43%，其中：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企业职工基本养老保险基金收入10796万元，进度为19.27%。</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城乡居民养老保险基金收入6598万元，进度为60.21%。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机关事业单位基本养老保险基金</w:t>
      </w:r>
      <w:r>
        <w:rPr>
          <w:rFonts w:hint="eastAsia" w:ascii="仿宋_GB2312" w:hAnsi="宋体" w:eastAsia="仿宋_GB2312" w:cs="宋体"/>
          <w:kern w:val="0"/>
          <w:sz w:val="32"/>
          <w:szCs w:val="32"/>
        </w:rPr>
        <w:t>收入14093万元，进度为45.42%。</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职工基本医疗保险(含生育保险)</w:t>
      </w:r>
      <w:r>
        <w:rPr>
          <w:rFonts w:ascii="仿宋_GB2312" w:hAnsi="宋体" w:eastAsia="仿宋_GB2312" w:cs="宋体"/>
          <w:kern w:val="0"/>
          <w:sz w:val="32"/>
          <w:szCs w:val="32"/>
        </w:rPr>
        <w:t>基金</w:t>
      </w:r>
      <w:r>
        <w:rPr>
          <w:rFonts w:hint="eastAsia" w:ascii="仿宋_GB2312" w:hAnsi="宋体" w:eastAsia="仿宋_GB2312" w:cs="宋体"/>
          <w:kern w:val="0"/>
          <w:sz w:val="32"/>
          <w:szCs w:val="32"/>
        </w:rPr>
        <w:t>收入5796万元，进度为41.01%。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城乡居民基本医疗保险基金</w:t>
      </w:r>
      <w:r>
        <w:rPr>
          <w:rFonts w:hint="eastAsia" w:ascii="仿宋_GB2312" w:hAnsi="宋体" w:eastAsia="仿宋_GB2312" w:cs="宋体"/>
          <w:kern w:val="0"/>
          <w:sz w:val="32"/>
          <w:szCs w:val="32"/>
        </w:rPr>
        <w:t>收入24360万元，进度为99.19%。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工伤保险基金</w:t>
      </w:r>
      <w:r>
        <w:rPr>
          <w:rFonts w:hint="eastAsia" w:ascii="仿宋_GB2312" w:hAnsi="宋体" w:eastAsia="仿宋_GB2312" w:cs="宋体"/>
          <w:kern w:val="0"/>
          <w:sz w:val="32"/>
          <w:szCs w:val="32"/>
        </w:rPr>
        <w:t>收入657万元，进度为190.43%。</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失业保险基金</w:t>
      </w:r>
      <w:r>
        <w:rPr>
          <w:rFonts w:hint="eastAsia" w:ascii="仿宋_GB2312" w:hAnsi="宋体" w:eastAsia="仿宋_GB2312" w:cs="宋体"/>
          <w:kern w:val="0"/>
          <w:sz w:val="32"/>
          <w:szCs w:val="32"/>
        </w:rPr>
        <w:t>收入499万元，进度为42.11%。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（2）社保基金支出年初预算135538万元，上半年完成71949万元，进度为53.08%，其中：</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企业职工基本养老保险基金24025万元，进度为38.79%。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城乡居民基本养老保险基金4502万元，进度为58.2%。</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机关事业单位基本养老保险基金11268万元，进度为36.31%。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职工基本医疗保险(含生育保险)基金3649万元，进度为38.31%。</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城乡居民基本医疗保险支出27861万元，进度为116.39%。</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工伤保险基金支出196万元，进度为29.34%。</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失业保险基金支出448万元，进度为63.28%。</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（3）本年收支结余-9150万元。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（4）年末滚存结余95024万元。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(四)国有资本经营预算执行情况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年初预算收支安排均为2500万元，上半年暂无执行进度。</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二、上半年所做的财政工作</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财政收入实现了“硬过半”。直面减税降费及疫情影响等诸多困难和压力，围绕全县经济发展主要目标，充分发挥财税协调作用，建立护税协税机制，不断创新征管举措，确保收入及时足额缴库。健全政府领导、财政组织、税务主管、部门配合、社会参与、司法保障的综合治税机制，形成齐抓共管、事前监管、标本兼治的治税工作新局面。定期召开财政收入分析会，研判财政收入形势，有针对性的组织和开展财政收入征收管理工作，在完成非税收入的同时，积极主动配合税务部门，强化税收依法征管，保持了财政收入均衡入库和稳定增长。一季度实行了财政收入“开门红”，二季度实行了“硬过半”。</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全力保障重点支出需求。坚决压减一般性支出，统筹整合更多的财政资源和资金全力保障重点支出需求。坚持“六保”优先，优先保障“保基本民生、保工资、保运转”，确保民生政策得到有效落实。加强政府兜底保障，注重普惠性、基础性、兜底性，做好关键时点、困难人群的基本生活保障。兜住基本生活底线，推进教育、社保、文化、住房以及政策性待遇的落实，切实保障民生工程的顺利实施。争取上级补助和转移支付资金12亿元,为保工资、保稳定、保运转、保发展提供了财力保障。进一步细化预算编制，建立完整、清晰、分工明确、相互贯通的政府预算体系。严格执行相关政策规定，用活用好财政存量资金。</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预算绩效管理全面推进。预算绩效评价工作作为共性目标纳入县直单位综合考评体系，与预算单位绩效考评挂钩。细化预（决）算信息公开，全面推进财政监管工作改革，紧锣密鼓开展公务接待专项治理工作，预算编审、政府采购、财政评审、“三公”经费管理等支出控管措施拓展到基层预算单位，强化财政投资项目监管，织密财政资金“安全网”。上半年共完成评审项45个，送审金额17232万元，审定金额15077万元，审减金额2155万元，综合审减率13%；完善单位基本保障、定员定额支出、项目分类等标准体系，财政预算管理进一步规范科学。预算项目实行绩效目标管理，用钱有目标，花钱必问效，计划外审批资金实行会签制和绩效目标审定制，预算绩效管理进一步推进。</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是“十四五”开局之年，围绕新时代新目标，立足打基础，稳预期，利长远，我们将坚定发展信心不动摇。在肯定成绩的同时，我们对存在的问题和不足更要有清醒的认识。收支矛盾比较突出，国库资金支付比较吃力，化解政府债务任务艰巨等等。对这些问题，我们将在今后的工作中，认真对待，并采取措施，逐一加以解决。</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三、下半年工作计划</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持续强化保障能力。一是切实兜牢“三保”底线。坚持“三保”支出特别是国家标准的“三保”支出在支出安排中的优先顺序。各单位要统筹各类资金，优先保障基本民生、工资发放和机构运转需求。严格执行国家和省政策规定的“三保”支出，一律不得提标扩围或降低标准。二是保障重点项目支出。坚持统筹兼顾、突出重点，加大支出结构调整力度，优先保障各级党委政府的重大政策、重要改革和重点项目实施，合理保障维持部门正常运转和履职的必需支出。</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全力提升财政管理水平。一是严格预算约束。“无预算不支出”、“非紧急不追加”，从严控制预算追加，除大事、要事、急事外，一般情况下不追加预算。二是强化资金使用绩效管理。树立“提升财政资金使用绩效就是增加财政收入”理念，切实强化绩效评价结果运用，有效提升财政资金绩效。三是加强财政资源统筹。统筹整合上级专项、政府债券、结余结转、政府性基金等资金，集中财力办大事。 </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推进一体化建设工作。一是统一思想，提高做好预算管理一体化系统建设的政治意识和责任担当，牢固树立大局意识。不断深化对该项工作重要性和必要性的认识，进一步增强责任感和使命感，以务实的作风、扎实的工作，高质量完成该项工作。二是强化措施，推动预算管理一体化系统建设落实落细。落实责任人员，明确时间节点。根据工作进展，统筹全局工作，确保主体责任落实到位。三是加强督办，确保预算管理一体化系统建设顺利实施。要强化跟踪督办，促进提质增效，突出亮点、重点、节点性工作。</w:t>
      </w:r>
    </w:p>
    <w:p>
      <w:pPr>
        <w:pStyle w:val="7"/>
        <w:widowControl w:val="0"/>
        <w:shd w:val="clear" w:color="auto" w:fill="FFFFFF"/>
        <w:overflowPunct w:val="0"/>
        <w:adjustRightInd w:val="0"/>
        <w:snapToGrid w:val="0"/>
        <w:spacing w:before="0" w:beforeAutospacing="0" w:after="0" w:afterAutospacing="0" w:line="580" w:lineRule="exact"/>
        <w:ind w:firstLine="643" w:firstLineChars="200"/>
        <w:jc w:val="both"/>
        <w:rPr>
          <w:rFonts w:ascii="仿宋_GB2312" w:hAnsi="仿宋" w:eastAsia="仿宋_GB2312" w:cs="仿宋"/>
          <w:b/>
          <w:sz w:val="32"/>
          <w:szCs w:val="30"/>
        </w:rPr>
      </w:pPr>
    </w:p>
    <w:p>
      <w:pPr>
        <w:overflowPunct w:val="0"/>
        <w:adjustRightInd w:val="0"/>
        <w:snapToGrid w:val="0"/>
        <w:spacing w:line="580" w:lineRule="exact"/>
        <w:ind w:firstLine="720" w:firstLineChars="200"/>
        <w:rPr>
          <w:rFonts w:ascii="黑体" w:hAnsi="黑体" w:eastAsia="黑体" w:cs="宋体"/>
          <w:color w:val="000000"/>
          <w:kern w:val="0"/>
          <w:sz w:val="36"/>
          <w:szCs w:val="36"/>
        </w:rPr>
      </w:pPr>
      <w:r>
        <w:rPr>
          <w:rFonts w:hint="eastAsia" w:ascii="黑体" w:hAnsi="黑体" w:eastAsia="黑体" w:cs="宋体"/>
          <w:color w:val="000000"/>
          <w:kern w:val="0"/>
          <w:sz w:val="36"/>
          <w:szCs w:val="36"/>
        </w:rPr>
        <w:t xml:space="preserve">第三部分：地方政府债务情况   </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w:t>
      </w:r>
      <w:r>
        <w:rPr>
          <w:rFonts w:ascii="楷体_GB2312" w:hAnsi="宋体" w:eastAsia="楷体_GB2312" w:cs="宋体"/>
          <w:b/>
          <w:kern w:val="0"/>
          <w:sz w:val="32"/>
          <w:szCs w:val="32"/>
        </w:rPr>
        <w:t>总体情况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1、债务限额：嘉鱼县2020年12月底债务限额为351876 万元，其中一般债券限额为157313万元，专项债券限额为194563万元。截止2021年6月底新增债务限额59920万元，其中新增一般债券限额20036万元，新增专项债券限额39884万元。2021年6月底嘉鱼县债务限额为411796万元，其中一般债券限额为177349万元，专项债券限额为234447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债务余额：2020年底嘉鱼县债务余额为315370万元，其中一般债券余额为139960万元，专项债券余额为175410万元。2021年新增一般债券10392万元，偿还本金2400万元，截止到6月底债务余额为323362万元，其中一般债券债务余额为147952 万元，专项债券债务余额为175410万元。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3.债务空间：目前嘉鱼县新增债券空间为88434万元，其中新增一般债券空间为29397万元，新增专项债券空间为59037万元。</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截至2021年6月末，全县政府债务余额为32.33亿元，低于批准的限额41.18亿元，政府债务余额得到有效管控。以2021年预算综合财力50.55亿元测算，我县政府债务率为63.95%,低于100%的预警警戒线。</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二、2021年债券拨付及使用情况</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嘉鱼县2021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申报发行并获转贷新增一般</w:t>
      </w:r>
      <w:r>
        <w:rPr>
          <w:rFonts w:ascii="仿宋_GB2312" w:hAnsi="宋体" w:eastAsia="仿宋_GB2312" w:cs="宋体"/>
          <w:kern w:val="0"/>
          <w:sz w:val="32"/>
          <w:szCs w:val="32"/>
        </w:rPr>
        <w:t>政府债券</w:t>
      </w:r>
      <w:r>
        <w:rPr>
          <w:rFonts w:hint="eastAsia" w:ascii="仿宋_GB2312" w:hAnsi="宋体" w:eastAsia="仿宋_GB2312" w:cs="宋体"/>
          <w:kern w:val="0"/>
          <w:sz w:val="32"/>
          <w:szCs w:val="32"/>
        </w:rPr>
        <w:t>10392万元，截止到2021年6月已拨付3480万元，单位已使用1800万元。</w:t>
      </w:r>
    </w:p>
    <w:p>
      <w:pPr>
        <w:overflowPunct w:val="0"/>
        <w:adjustRightInd w:val="0"/>
        <w:snapToGri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三、地方政府债券资金管理</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地方政府债券资金预算管理。一般债券和专项债券资金分类纳入一般公共预算和政府性基金预算管理。部门（单位）使用的债券资金相应纳入部门（单位）预算管理。新增一般债券资金用于没有收益的公益性项目建设，重点支持长江经济带发展、</w:t>
      </w:r>
      <w:r>
        <w:rPr>
          <w:rFonts w:hint="eastAsia" w:ascii="仿宋_GB2312" w:hAnsi="宋体" w:eastAsia="仿宋_GB2312" w:cs="宋体"/>
          <w:kern w:val="0"/>
          <w:sz w:val="32"/>
          <w:szCs w:val="32"/>
          <w:lang w:eastAsia="zh-CN"/>
        </w:rPr>
        <w:t>易地</w:t>
      </w:r>
      <w:r>
        <w:rPr>
          <w:rFonts w:hint="eastAsia" w:ascii="仿宋_GB2312" w:hAnsi="宋体" w:eastAsia="仿宋_GB2312" w:cs="宋体"/>
          <w:kern w:val="0"/>
          <w:sz w:val="32"/>
          <w:szCs w:val="32"/>
        </w:rPr>
        <w:t xml:space="preserve">扶贫搬迁、污染防治、重大水利工程、乡村振兴、生态环保等方面。新增专项债券资金用于有一定收益的公益性项目建设，围绕省委、省政府确定的重大项目，在住建、交通、旅游、文化、教育、医疗卫生等领域，对符合条件的公益性建设项目，发行项目收益与融资自求平衡的地方政府专项债券  </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新增政府债券申报。县财政部门负责建立新增政府债券申报项目库，优先安排前期工作准备充分、成熟度高、具备发行条件的项目入库。地方政府债券申请单位要在每年第四季度，向财政局上报下年度拟申请债券资金的项目情况，财政局根据各单位上报情况对项目进行甄选，初步确定申报项目并报县政府批准同意。</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新增政府债券发行。新增一般债券发行：省财政厅根据地方政府债务情况分配下达一般债券资金，财政局根据前期县政府同意的债券资金需求方案，提出新增政府债券资金分配方案，报县政府批准同意后发行。新增专项债券发行：根据县政府批准的申报项目基本库，专项债券项目申报单位需编制实施方案、财务评估报告、法律意见书等项目申报资料，报省财政厅审核通过后才可成功发行。</w:t>
      </w: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新增债券资金使用。地方政府债券使用单位要严格按照申报的项目确保专款专用，严禁将新增地方政府债券资金挪作他用，严禁用于经常性支出或建设明令禁止的楼堂馆所等项目。地方政府债券使用单位应按定期向县财政局报送新增政府债券资金使用及项目进展情况，在本年度及时足额使用地方政府债券资金，确保债券资金按进度要求使用完毕，形成项目实物量，充分发挥政府债券资金对稳投资、扩内需、补短板的重要作用。</w:t>
      </w:r>
    </w:p>
    <w:p>
      <w:pPr>
        <w:overflowPunct w:val="0"/>
        <w:adjustRightInd w:val="0"/>
        <w:snapToGrid w:val="0"/>
        <w:spacing w:line="580" w:lineRule="exact"/>
        <w:ind w:firstLine="640" w:firstLineChars="200"/>
        <w:rPr>
          <w:rFonts w:ascii="仿宋_GB2312" w:hAnsi="宋体" w:eastAsia="仿宋_GB2312" w:cs="宋体"/>
          <w:kern w:val="0"/>
          <w:sz w:val="32"/>
          <w:szCs w:val="32"/>
        </w:rPr>
      </w:pPr>
    </w:p>
    <w:p>
      <w:pPr>
        <w:overflowPunct w:val="0"/>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主任、各位副主任，各位委员：2021年是奋进“十四五”，开启新征程的开局之年，我们将在县委、县政府的正确领导下，在县人大、县政协的监督和支持下，不忘初心</w:t>
      </w:r>
      <w:r>
        <w:rPr>
          <w:rFonts w:hint="eastAsia" w:ascii="仿宋_GB2312" w:hAnsi="宋体" w:eastAsia="仿宋_GB2312" w:cs="宋体"/>
          <w:kern w:val="0"/>
          <w:sz w:val="32"/>
          <w:szCs w:val="32"/>
          <w:lang w:eastAsia="zh-CN"/>
        </w:rPr>
        <w:t>、</w:t>
      </w:r>
      <w:bookmarkStart w:id="0" w:name="_GoBack"/>
      <w:bookmarkEnd w:id="0"/>
      <w:r>
        <w:rPr>
          <w:rFonts w:hint="eastAsia" w:ascii="仿宋_GB2312" w:hAnsi="宋体" w:eastAsia="仿宋_GB2312" w:cs="宋体"/>
          <w:kern w:val="0"/>
          <w:sz w:val="32"/>
          <w:szCs w:val="32"/>
        </w:rPr>
        <w:t xml:space="preserve">牢记使命，开拓创新，履职尽责，加强收支控管，全面完成今年各项财政工作目标做好债券管控。 </w:t>
      </w:r>
    </w:p>
    <w:p>
      <w:pPr>
        <w:overflowPunct w:val="0"/>
        <w:spacing w:line="580" w:lineRule="exact"/>
        <w:ind w:firstLine="1440" w:firstLineChars="200"/>
        <w:rPr>
          <w:sz w:val="72"/>
          <w:szCs w:val="72"/>
        </w:rPr>
      </w:pPr>
    </w:p>
    <w:sectPr>
      <w:headerReference r:id="rId3" w:type="default"/>
      <w:footerReference r:id="rId4" w:type="even"/>
      <w:pgSz w:w="11906" w:h="16838"/>
      <w:pgMar w:top="2155" w:right="1531" w:bottom="1814"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2288308"/>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g2OTVlNGRlMmZhOTJmMjE5ZDllMjNlNWViMzJiMjUifQ=="/>
  </w:docVars>
  <w:rsids>
    <w:rsidRoot w:val="732746E5"/>
    <w:rsid w:val="00014C62"/>
    <w:rsid w:val="0001712F"/>
    <w:rsid w:val="000955AF"/>
    <w:rsid w:val="000A1C10"/>
    <w:rsid w:val="00121122"/>
    <w:rsid w:val="00147FE6"/>
    <w:rsid w:val="001D0FFE"/>
    <w:rsid w:val="001D45CD"/>
    <w:rsid w:val="002678BE"/>
    <w:rsid w:val="00353556"/>
    <w:rsid w:val="00450F7E"/>
    <w:rsid w:val="0045481E"/>
    <w:rsid w:val="00476C79"/>
    <w:rsid w:val="00482B44"/>
    <w:rsid w:val="004D1845"/>
    <w:rsid w:val="004D2C39"/>
    <w:rsid w:val="00531ABE"/>
    <w:rsid w:val="005729C8"/>
    <w:rsid w:val="0058158B"/>
    <w:rsid w:val="006827E8"/>
    <w:rsid w:val="00703211"/>
    <w:rsid w:val="00721BE4"/>
    <w:rsid w:val="00791A88"/>
    <w:rsid w:val="007C0198"/>
    <w:rsid w:val="007F78DB"/>
    <w:rsid w:val="00814B2C"/>
    <w:rsid w:val="00902AFF"/>
    <w:rsid w:val="009122B7"/>
    <w:rsid w:val="00977912"/>
    <w:rsid w:val="009A6555"/>
    <w:rsid w:val="00A05B33"/>
    <w:rsid w:val="00A11422"/>
    <w:rsid w:val="00AA1933"/>
    <w:rsid w:val="00B34464"/>
    <w:rsid w:val="00B71787"/>
    <w:rsid w:val="00B725DA"/>
    <w:rsid w:val="00B85854"/>
    <w:rsid w:val="00B90030"/>
    <w:rsid w:val="00C04376"/>
    <w:rsid w:val="00CA15CF"/>
    <w:rsid w:val="00E01964"/>
    <w:rsid w:val="00E10629"/>
    <w:rsid w:val="00E42143"/>
    <w:rsid w:val="00EA1484"/>
    <w:rsid w:val="00EC4AA8"/>
    <w:rsid w:val="00F07898"/>
    <w:rsid w:val="00F40E04"/>
    <w:rsid w:val="00F41F7B"/>
    <w:rsid w:val="00F55400"/>
    <w:rsid w:val="00FD59C3"/>
    <w:rsid w:val="016D3AF1"/>
    <w:rsid w:val="020220B5"/>
    <w:rsid w:val="02DC2FBA"/>
    <w:rsid w:val="0A68691D"/>
    <w:rsid w:val="0AB86036"/>
    <w:rsid w:val="0D085119"/>
    <w:rsid w:val="107E02AC"/>
    <w:rsid w:val="11620036"/>
    <w:rsid w:val="11B07A73"/>
    <w:rsid w:val="11FD6F60"/>
    <w:rsid w:val="144B2AF4"/>
    <w:rsid w:val="14F90AA5"/>
    <w:rsid w:val="157A7170"/>
    <w:rsid w:val="1717641B"/>
    <w:rsid w:val="1793166D"/>
    <w:rsid w:val="182B61D6"/>
    <w:rsid w:val="18307B45"/>
    <w:rsid w:val="1D235B6F"/>
    <w:rsid w:val="20682914"/>
    <w:rsid w:val="20F519DB"/>
    <w:rsid w:val="252020C6"/>
    <w:rsid w:val="27676ECF"/>
    <w:rsid w:val="284076AD"/>
    <w:rsid w:val="293F7390"/>
    <w:rsid w:val="2B4B719B"/>
    <w:rsid w:val="2B9A1019"/>
    <w:rsid w:val="2E580D26"/>
    <w:rsid w:val="2EA32777"/>
    <w:rsid w:val="2F996ED7"/>
    <w:rsid w:val="34770253"/>
    <w:rsid w:val="3E7C41BB"/>
    <w:rsid w:val="407F270F"/>
    <w:rsid w:val="457A3E99"/>
    <w:rsid w:val="4F074A5E"/>
    <w:rsid w:val="4F384957"/>
    <w:rsid w:val="562A1C79"/>
    <w:rsid w:val="587F0270"/>
    <w:rsid w:val="636059E7"/>
    <w:rsid w:val="66253728"/>
    <w:rsid w:val="69A607D9"/>
    <w:rsid w:val="6F7D51EB"/>
    <w:rsid w:val="70332339"/>
    <w:rsid w:val="71016582"/>
    <w:rsid w:val="732746E5"/>
    <w:rsid w:val="7573341E"/>
    <w:rsid w:val="78C007D0"/>
    <w:rsid w:val="7C7A5DFF"/>
    <w:rsid w:val="7D82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spacing w:after="120"/>
      <w:ind w:left="420" w:leftChars="200"/>
    </w:pPr>
  </w:style>
  <w:style w:type="paragraph" w:styleId="3">
    <w:name w:val="Plain Text"/>
    <w:basedOn w:val="1"/>
    <w:qFormat/>
    <w:uiPriority w:val="0"/>
    <w:rPr>
      <w:rFonts w:ascii="宋体" w:hAnsi="Courier New" w:cs="Courier New"/>
      <w:szCs w:val="21"/>
    </w:rPr>
  </w:style>
  <w:style w:type="paragraph" w:styleId="4">
    <w:name w:val="Balloon Text"/>
    <w:basedOn w:val="1"/>
    <w:link w:val="16"/>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2"/>
    <w:next w:val="1"/>
    <w:link w:val="18"/>
    <w:qFormat/>
    <w:uiPriority w:val="0"/>
    <w:pPr>
      <w:spacing w:after="0"/>
      <w:ind w:firstLine="420" w:firstLineChars="200"/>
    </w:pPr>
    <w:rPr>
      <w:rFonts w:ascii="Calibri" w:hAnsi="Calibri"/>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16"/>
    <w:basedOn w:val="10"/>
    <w:qFormat/>
    <w:uiPriority w:val="0"/>
    <w:rPr>
      <w:rFonts w:hint="default" w:ascii="Times New Roman" w:hAnsi="Times New Roman" w:cs="Times New Roman"/>
      <w:b/>
      <w:bCs/>
    </w:rPr>
  </w:style>
  <w:style w:type="paragraph" w:styleId="14">
    <w:name w:val="List Paragraph"/>
    <w:basedOn w:val="1"/>
    <w:unhideWhenUsed/>
    <w:qFormat/>
    <w:uiPriority w:val="99"/>
    <w:pPr>
      <w:ind w:firstLine="420" w:firstLineChars="200"/>
    </w:pPr>
  </w:style>
  <w:style w:type="character" w:customStyle="1" w:styleId="15">
    <w:name w:val="页脚 Char"/>
    <w:basedOn w:val="10"/>
    <w:link w:val="5"/>
    <w:qFormat/>
    <w:uiPriority w:val="99"/>
    <w:rPr>
      <w:kern w:val="2"/>
      <w:sz w:val="18"/>
      <w:szCs w:val="18"/>
    </w:rPr>
  </w:style>
  <w:style w:type="character" w:customStyle="1" w:styleId="16">
    <w:name w:val="批注框文本 Char"/>
    <w:basedOn w:val="10"/>
    <w:link w:val="4"/>
    <w:qFormat/>
    <w:uiPriority w:val="0"/>
    <w:rPr>
      <w:kern w:val="2"/>
      <w:sz w:val="18"/>
      <w:szCs w:val="18"/>
    </w:rPr>
  </w:style>
  <w:style w:type="character" w:customStyle="1" w:styleId="17">
    <w:name w:val="正文文本缩进 Char"/>
    <w:basedOn w:val="10"/>
    <w:link w:val="2"/>
    <w:qFormat/>
    <w:uiPriority w:val="0"/>
    <w:rPr>
      <w:kern w:val="2"/>
      <w:sz w:val="21"/>
      <w:szCs w:val="24"/>
    </w:rPr>
  </w:style>
  <w:style w:type="character" w:customStyle="1" w:styleId="18">
    <w:name w:val="正文首行缩进 2 Char"/>
    <w:basedOn w:val="17"/>
    <w:link w:val="8"/>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TongChengWeiXiu.Com</Company>
  <Pages>14</Pages>
  <Words>6005</Words>
  <Characters>7035</Characters>
  <Lines>50</Lines>
  <Paragraphs>14</Paragraphs>
  <TotalTime>108</TotalTime>
  <ScaleCrop>false</ScaleCrop>
  <LinksUpToDate>false</LinksUpToDate>
  <CharactersWithSpaces>7046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2019-07-29T08:48:00Z</dcterms:created>
  <dc:creator>jyysg</dc:creator>
  <cp:lastModifiedBy>吴操William.Wu</cp:lastModifiedBy>
  <cp:lastPrinted>2019-07-29T08:53:00Z</cp:lastPrinted>
  <dcterms:modified xsi:type="dcterms:W3CDTF">2023-08-08T03:48:13Z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7F96C03E57B04DCB8CB3C723EBC154BD</vt:lpwstr>
  </property>
</Properties>
</file>